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14FF" w14:textId="77777777" w:rsidR="00A15836" w:rsidRDefault="00A15836" w:rsidP="00A15836">
      <w:pPr>
        <w:spacing w:after="0"/>
        <w:ind w:left="2552"/>
        <w:rPr>
          <w:rFonts w:ascii="Arial" w:hAnsi="Arial" w:cs="Arial"/>
          <w:b/>
          <w:sz w:val="28"/>
          <w:szCs w:val="32"/>
        </w:rPr>
      </w:pPr>
      <w:r w:rsidRPr="00A15836">
        <w:rPr>
          <w:rFonts w:ascii="Arial" w:hAnsi="Arial" w:cs="Arial"/>
          <w:b/>
          <w:noProof/>
          <w:sz w:val="28"/>
          <w:szCs w:val="32"/>
          <w:lang w:eastAsia="en-GB"/>
        </w:rPr>
        <w:drawing>
          <wp:anchor distT="0" distB="0" distL="114300" distR="114300" simplePos="0" relativeHeight="251658240" behindDoc="1" locked="0" layoutInCell="1" allowOverlap="1" wp14:anchorId="6898A66A" wp14:editId="43352C11">
            <wp:simplePos x="0" y="0"/>
            <wp:positionH relativeFrom="column">
              <wp:posOffset>-504137</wp:posOffset>
            </wp:positionH>
            <wp:positionV relativeFrom="paragraph">
              <wp:posOffset>-180975</wp:posOffset>
            </wp:positionV>
            <wp:extent cx="1989397" cy="961366"/>
            <wp:effectExtent l="0" t="0" r="0" b="0"/>
            <wp:wrapNone/>
            <wp:docPr id="1" name="Picture 1" descr="\\Terminal1\d\2016 Stationary and Logo\Logo 2016\Welfare Benefits Unit Logo\Full Logo\Colour\Welfare Benefits Uni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al1\d\2016 Stationary and Logo\Logo 2016\Welfare Benefits Unit Logo\Full Logo\Colour\Welfare Benefits Unit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397" cy="961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0A3" w:rsidRPr="00A15836">
        <w:rPr>
          <w:rFonts w:ascii="Arial" w:hAnsi="Arial" w:cs="Arial"/>
          <w:b/>
          <w:sz w:val="28"/>
          <w:szCs w:val="32"/>
        </w:rPr>
        <w:t>Benefits Advice and Tribunal Support</w:t>
      </w:r>
    </w:p>
    <w:p w14:paraId="0CC85860" w14:textId="77777777" w:rsidR="00D94F97" w:rsidRPr="00A15836" w:rsidRDefault="00A15836" w:rsidP="00A15836">
      <w:pPr>
        <w:spacing w:after="0"/>
        <w:ind w:left="2552"/>
        <w:rPr>
          <w:rFonts w:ascii="Arial" w:hAnsi="Arial" w:cs="Arial"/>
          <w:b/>
          <w:sz w:val="28"/>
          <w:szCs w:val="32"/>
        </w:rPr>
      </w:pPr>
      <w:r>
        <w:rPr>
          <w:rFonts w:ascii="Arial" w:hAnsi="Arial" w:cs="Arial"/>
          <w:b/>
          <w:sz w:val="28"/>
          <w:szCs w:val="32"/>
        </w:rPr>
        <w:t>F</w:t>
      </w:r>
      <w:r w:rsidR="00DE75AA" w:rsidRPr="00A15836">
        <w:rPr>
          <w:rFonts w:ascii="Arial" w:hAnsi="Arial" w:cs="Arial"/>
          <w:b/>
          <w:sz w:val="28"/>
          <w:szCs w:val="32"/>
        </w:rPr>
        <w:t>inal report</w:t>
      </w:r>
    </w:p>
    <w:p w14:paraId="7CF31744" w14:textId="77777777" w:rsidR="00DE75AA" w:rsidRPr="00A15836" w:rsidRDefault="00DE75AA" w:rsidP="00A15836">
      <w:pPr>
        <w:ind w:left="2552"/>
        <w:rPr>
          <w:rFonts w:ascii="Arial" w:hAnsi="Arial" w:cs="Arial"/>
          <w:b/>
          <w:sz w:val="28"/>
          <w:szCs w:val="24"/>
        </w:rPr>
      </w:pPr>
      <w:r w:rsidRPr="00A15836">
        <w:rPr>
          <w:rFonts w:ascii="Arial" w:hAnsi="Arial" w:cs="Arial"/>
          <w:b/>
          <w:sz w:val="28"/>
          <w:szCs w:val="24"/>
        </w:rPr>
        <w:t>October 2015 to December 2016 (</w:t>
      </w:r>
      <w:r w:rsidR="000D2163" w:rsidRPr="00A15836">
        <w:rPr>
          <w:rFonts w:ascii="Arial" w:hAnsi="Arial" w:cs="Arial"/>
          <w:b/>
          <w:sz w:val="28"/>
          <w:szCs w:val="24"/>
        </w:rPr>
        <w:t>15 months)</w:t>
      </w:r>
    </w:p>
    <w:p w14:paraId="1C247C9B" w14:textId="77777777" w:rsidR="00CA70A3" w:rsidRPr="00CA70A3" w:rsidRDefault="00CA70A3" w:rsidP="000D2163">
      <w:pPr>
        <w:rPr>
          <w:rFonts w:ascii="Arial" w:hAnsi="Arial" w:cs="Arial"/>
          <w:b/>
          <w:sz w:val="28"/>
          <w:szCs w:val="24"/>
        </w:rPr>
      </w:pPr>
      <w:r w:rsidRPr="00CA70A3">
        <w:rPr>
          <w:rFonts w:ascii="Arial" w:hAnsi="Arial" w:cs="Arial"/>
          <w:b/>
          <w:sz w:val="28"/>
          <w:szCs w:val="24"/>
        </w:rPr>
        <w:t>Introduction</w:t>
      </w:r>
    </w:p>
    <w:p w14:paraId="3ECCFB5C" w14:textId="5A2E4340" w:rsidR="000D2163" w:rsidRPr="000D2163" w:rsidRDefault="000D2163" w:rsidP="000D2163">
      <w:pPr>
        <w:rPr>
          <w:rFonts w:ascii="Arial" w:hAnsi="Arial" w:cs="Arial"/>
          <w:sz w:val="24"/>
          <w:szCs w:val="24"/>
        </w:rPr>
      </w:pPr>
      <w:r w:rsidRPr="000D2163">
        <w:rPr>
          <w:rFonts w:ascii="Arial" w:hAnsi="Arial" w:cs="Arial"/>
          <w:sz w:val="24"/>
          <w:szCs w:val="24"/>
        </w:rPr>
        <w:t xml:space="preserve">The Benefits Advice and Tribunal Support </w:t>
      </w:r>
      <w:r w:rsidR="00CA70A3">
        <w:rPr>
          <w:rFonts w:ascii="Arial" w:hAnsi="Arial" w:cs="Arial"/>
          <w:sz w:val="24"/>
          <w:szCs w:val="24"/>
        </w:rPr>
        <w:t xml:space="preserve">(BATS) </w:t>
      </w:r>
      <w:r w:rsidRPr="000D2163">
        <w:rPr>
          <w:rFonts w:ascii="Arial" w:hAnsi="Arial" w:cs="Arial"/>
          <w:sz w:val="24"/>
          <w:szCs w:val="24"/>
        </w:rPr>
        <w:t>project supported a broad range of York residents by providing advice to workers to enable them to successfully help claimant’s challenge benefit decisions.</w:t>
      </w:r>
      <w:r>
        <w:rPr>
          <w:rFonts w:ascii="Arial" w:hAnsi="Arial" w:cs="Arial"/>
          <w:sz w:val="24"/>
          <w:szCs w:val="24"/>
        </w:rPr>
        <w:t xml:space="preserve"> This involved u</w:t>
      </w:r>
      <w:r w:rsidRPr="000D2163">
        <w:rPr>
          <w:rFonts w:ascii="Arial" w:hAnsi="Arial" w:cs="Arial"/>
          <w:sz w:val="24"/>
          <w:szCs w:val="24"/>
        </w:rPr>
        <w:t>p-skilling front-line workers and volunteers who work outside of the traditional advice sector</w:t>
      </w:r>
      <w:r>
        <w:rPr>
          <w:rFonts w:ascii="Arial" w:hAnsi="Arial" w:cs="Arial"/>
          <w:sz w:val="24"/>
          <w:szCs w:val="24"/>
        </w:rPr>
        <w:t xml:space="preserve"> as well as support for advisers in advice settings</w:t>
      </w:r>
      <w:r w:rsidRPr="000D2163">
        <w:rPr>
          <w:rFonts w:ascii="Arial" w:hAnsi="Arial" w:cs="Arial"/>
          <w:sz w:val="24"/>
          <w:szCs w:val="24"/>
        </w:rPr>
        <w:t xml:space="preserve">. By providing appeal casework support advisers/workers are able to help their clients challenge decisions more knowledgeably and at a higher level, producing better results than would otherwise be </w:t>
      </w:r>
      <w:r w:rsidR="000C7EB9">
        <w:rPr>
          <w:rFonts w:ascii="Arial" w:hAnsi="Arial" w:cs="Arial"/>
          <w:sz w:val="24"/>
          <w:szCs w:val="24"/>
        </w:rPr>
        <w:t>achieved</w:t>
      </w:r>
      <w:r w:rsidRPr="000D2163">
        <w:rPr>
          <w:rFonts w:ascii="Arial" w:hAnsi="Arial" w:cs="Arial"/>
          <w:sz w:val="24"/>
          <w:szCs w:val="24"/>
        </w:rPr>
        <w:t xml:space="preserve">. </w:t>
      </w:r>
    </w:p>
    <w:p w14:paraId="58D3C2F9" w14:textId="5B1E0FC1" w:rsidR="000D2163" w:rsidRDefault="00543B67" w:rsidP="000D2163">
      <w:pPr>
        <w:rPr>
          <w:rFonts w:ascii="Arial" w:hAnsi="Arial" w:cs="Arial"/>
          <w:sz w:val="24"/>
          <w:szCs w:val="24"/>
        </w:rPr>
      </w:pPr>
      <w:r>
        <w:rPr>
          <w:rFonts w:ascii="Arial" w:hAnsi="Arial" w:cs="Arial"/>
          <w:sz w:val="24"/>
          <w:szCs w:val="24"/>
        </w:rPr>
        <w:t>In some cases, advice and support was provided to support the challenge at an early stage, such as mandatory revision. In-depth</w:t>
      </w:r>
      <w:r w:rsidR="000D2163" w:rsidRPr="000D2163">
        <w:rPr>
          <w:rFonts w:ascii="Arial" w:hAnsi="Arial" w:cs="Arial"/>
          <w:sz w:val="24"/>
          <w:szCs w:val="24"/>
        </w:rPr>
        <w:t xml:space="preserve"> support include</w:t>
      </w:r>
      <w:r w:rsidR="000D2163">
        <w:rPr>
          <w:rFonts w:ascii="Arial" w:hAnsi="Arial" w:cs="Arial"/>
          <w:sz w:val="24"/>
          <w:szCs w:val="24"/>
        </w:rPr>
        <w:t>d</w:t>
      </w:r>
      <w:r w:rsidR="000D2163" w:rsidRPr="000D2163">
        <w:rPr>
          <w:rFonts w:ascii="Arial" w:hAnsi="Arial" w:cs="Arial"/>
          <w:sz w:val="24"/>
          <w:szCs w:val="24"/>
        </w:rPr>
        <w:t xml:space="preserve"> one to one</w:t>
      </w:r>
      <w:r w:rsidR="000D2163">
        <w:rPr>
          <w:rFonts w:ascii="Arial" w:hAnsi="Arial" w:cs="Arial"/>
          <w:sz w:val="24"/>
          <w:szCs w:val="24"/>
        </w:rPr>
        <w:t xml:space="preserve"> sessions with advisers/workers and, when appropriate, their clients</w:t>
      </w:r>
      <w:r w:rsidR="00C63FA4">
        <w:rPr>
          <w:rFonts w:ascii="Arial" w:hAnsi="Arial" w:cs="Arial"/>
          <w:sz w:val="24"/>
          <w:szCs w:val="24"/>
        </w:rPr>
        <w:t>;</w:t>
      </w:r>
      <w:r w:rsidR="000D2163" w:rsidRPr="000D2163">
        <w:rPr>
          <w:rFonts w:ascii="Arial" w:hAnsi="Arial" w:cs="Arial"/>
          <w:sz w:val="24"/>
          <w:szCs w:val="24"/>
        </w:rPr>
        <w:t xml:space="preserve"> detailed comment on cases and help with mandatory reconsideration and submission preparation. </w:t>
      </w:r>
      <w:r>
        <w:rPr>
          <w:rFonts w:ascii="Arial" w:hAnsi="Arial" w:cs="Arial"/>
          <w:sz w:val="24"/>
          <w:szCs w:val="24"/>
        </w:rPr>
        <w:t>W</w:t>
      </w:r>
      <w:r w:rsidR="00734CBC">
        <w:rPr>
          <w:rFonts w:ascii="Arial" w:hAnsi="Arial" w:cs="Arial"/>
          <w:sz w:val="24"/>
          <w:szCs w:val="24"/>
        </w:rPr>
        <w:t xml:space="preserve">ritten submissions </w:t>
      </w:r>
      <w:r>
        <w:rPr>
          <w:rFonts w:ascii="Arial" w:hAnsi="Arial" w:cs="Arial"/>
          <w:sz w:val="24"/>
          <w:szCs w:val="24"/>
        </w:rPr>
        <w:t>prepared by the BATS adviser</w:t>
      </w:r>
      <w:r w:rsidR="000C7EB9">
        <w:rPr>
          <w:rFonts w:ascii="Arial" w:hAnsi="Arial" w:cs="Arial"/>
          <w:sz w:val="24"/>
          <w:szCs w:val="24"/>
        </w:rPr>
        <w:t xml:space="preserve"> were provided</w:t>
      </w:r>
      <w:r>
        <w:rPr>
          <w:rFonts w:ascii="Arial" w:hAnsi="Arial" w:cs="Arial"/>
          <w:sz w:val="24"/>
          <w:szCs w:val="24"/>
        </w:rPr>
        <w:t xml:space="preserve"> when appropriate</w:t>
      </w:r>
      <w:r w:rsidR="006A2EF4">
        <w:rPr>
          <w:rFonts w:ascii="Arial" w:hAnsi="Arial" w:cs="Arial"/>
          <w:sz w:val="24"/>
          <w:szCs w:val="24"/>
        </w:rPr>
        <w:t>, and in a few detailed guidance was sufficient to enable the front-line w</w:t>
      </w:r>
      <w:r w:rsidR="00F13EF8">
        <w:rPr>
          <w:rFonts w:ascii="Arial" w:hAnsi="Arial" w:cs="Arial"/>
          <w:sz w:val="24"/>
          <w:szCs w:val="24"/>
        </w:rPr>
        <w:t>orker to produce the final version</w:t>
      </w:r>
      <w:r w:rsidR="000C7EB9">
        <w:rPr>
          <w:rFonts w:ascii="Arial" w:hAnsi="Arial" w:cs="Arial"/>
          <w:sz w:val="24"/>
          <w:szCs w:val="24"/>
        </w:rPr>
        <w:t xml:space="preserve">. </w:t>
      </w:r>
      <w:r w:rsidR="000D2163" w:rsidRPr="000D2163">
        <w:rPr>
          <w:rFonts w:ascii="Arial" w:hAnsi="Arial" w:cs="Arial"/>
          <w:sz w:val="24"/>
          <w:szCs w:val="24"/>
        </w:rPr>
        <w:t xml:space="preserve">Representation at appeal </w:t>
      </w:r>
      <w:r w:rsidR="000D2163">
        <w:rPr>
          <w:rFonts w:ascii="Arial" w:hAnsi="Arial" w:cs="Arial"/>
          <w:sz w:val="24"/>
          <w:szCs w:val="24"/>
        </w:rPr>
        <w:t>was provided</w:t>
      </w:r>
      <w:r w:rsidR="000D2163" w:rsidRPr="000D2163">
        <w:rPr>
          <w:rFonts w:ascii="Arial" w:hAnsi="Arial" w:cs="Arial"/>
          <w:sz w:val="24"/>
          <w:szCs w:val="24"/>
        </w:rPr>
        <w:t xml:space="preserve"> in circumstances when the adviser/worker’s role did not permit them to provide this level of support to their client</w:t>
      </w:r>
      <w:r w:rsidR="000D2163">
        <w:rPr>
          <w:rFonts w:ascii="Arial" w:hAnsi="Arial" w:cs="Arial"/>
          <w:sz w:val="24"/>
          <w:szCs w:val="24"/>
        </w:rPr>
        <w:t xml:space="preserve"> or a case was sufficiently complex and </w:t>
      </w:r>
      <w:r w:rsidR="000D2163" w:rsidRPr="000D2163">
        <w:rPr>
          <w:rFonts w:ascii="Arial" w:hAnsi="Arial" w:cs="Arial"/>
          <w:sz w:val="24"/>
          <w:szCs w:val="24"/>
        </w:rPr>
        <w:t xml:space="preserve">representation was likely to improve the outcome of the case. </w:t>
      </w:r>
    </w:p>
    <w:p w14:paraId="4EEBC065" w14:textId="670D6E13" w:rsidR="007D4DF0" w:rsidRDefault="007D4DF0" w:rsidP="005E49D1">
      <w:pPr>
        <w:pStyle w:val="ListParagraph"/>
        <w:ind w:left="0"/>
        <w:rPr>
          <w:rFonts w:ascii="Arial" w:hAnsi="Arial" w:cs="Arial"/>
          <w:sz w:val="24"/>
          <w:szCs w:val="24"/>
        </w:rPr>
      </w:pPr>
      <w:r>
        <w:rPr>
          <w:rFonts w:ascii="Arial" w:hAnsi="Arial" w:cs="Arial"/>
          <w:sz w:val="24"/>
          <w:szCs w:val="24"/>
        </w:rPr>
        <w:t>The support has</w:t>
      </w:r>
      <w:r w:rsidR="00C63FA4">
        <w:rPr>
          <w:rFonts w:ascii="Arial" w:hAnsi="Arial" w:cs="Arial"/>
          <w:sz w:val="24"/>
          <w:szCs w:val="24"/>
        </w:rPr>
        <w:t xml:space="preserve"> also</w:t>
      </w:r>
      <w:r>
        <w:rPr>
          <w:rFonts w:ascii="Arial" w:hAnsi="Arial" w:cs="Arial"/>
          <w:sz w:val="24"/>
          <w:szCs w:val="24"/>
        </w:rPr>
        <w:t xml:space="preserve"> includ</w:t>
      </w:r>
      <w:r w:rsidR="00C63FA4">
        <w:rPr>
          <w:rFonts w:ascii="Arial" w:hAnsi="Arial" w:cs="Arial"/>
          <w:sz w:val="24"/>
          <w:szCs w:val="24"/>
        </w:rPr>
        <w:t>ed</w:t>
      </w:r>
      <w:r>
        <w:rPr>
          <w:rFonts w:ascii="Arial" w:hAnsi="Arial" w:cs="Arial"/>
          <w:sz w:val="24"/>
          <w:szCs w:val="24"/>
        </w:rPr>
        <w:t xml:space="preserve"> advice about potential error of law by the First-tier Tribunal</w:t>
      </w:r>
      <w:r w:rsidR="00F13EF8">
        <w:rPr>
          <w:rFonts w:ascii="Arial" w:hAnsi="Arial" w:cs="Arial"/>
          <w:sz w:val="24"/>
          <w:szCs w:val="24"/>
        </w:rPr>
        <w:t xml:space="preserve"> with further appeal to Upper Tribunal</w:t>
      </w:r>
      <w:r>
        <w:rPr>
          <w:rFonts w:ascii="Arial" w:hAnsi="Arial" w:cs="Arial"/>
          <w:sz w:val="24"/>
          <w:szCs w:val="24"/>
        </w:rPr>
        <w:t xml:space="preserve">. This is a technical issue, involving consideration of the evidence before the </w:t>
      </w:r>
      <w:r w:rsidR="00F13EF8">
        <w:rPr>
          <w:rFonts w:ascii="Arial" w:hAnsi="Arial" w:cs="Arial"/>
          <w:sz w:val="24"/>
          <w:szCs w:val="24"/>
        </w:rPr>
        <w:t xml:space="preserve">First-tier </w:t>
      </w:r>
      <w:r>
        <w:rPr>
          <w:rFonts w:ascii="Arial" w:hAnsi="Arial" w:cs="Arial"/>
          <w:sz w:val="24"/>
          <w:szCs w:val="24"/>
        </w:rPr>
        <w:t>Tribunal, and does not require direct contact with the claimant.</w:t>
      </w:r>
    </w:p>
    <w:p w14:paraId="4540B8C9" w14:textId="28C68CA6" w:rsidR="000C7EB9" w:rsidRDefault="007D4DF0" w:rsidP="000D2163">
      <w:pPr>
        <w:rPr>
          <w:rFonts w:ascii="Arial" w:hAnsi="Arial" w:cs="Arial"/>
          <w:sz w:val="24"/>
          <w:szCs w:val="24"/>
        </w:rPr>
      </w:pPr>
      <w:r>
        <w:rPr>
          <w:rFonts w:ascii="Arial" w:hAnsi="Arial" w:cs="Arial"/>
          <w:sz w:val="24"/>
          <w:szCs w:val="24"/>
        </w:rPr>
        <w:t>T</w:t>
      </w:r>
      <w:r w:rsidR="000C7EB9">
        <w:rPr>
          <w:rFonts w:ascii="Arial" w:hAnsi="Arial" w:cs="Arial"/>
          <w:sz w:val="24"/>
          <w:szCs w:val="24"/>
        </w:rPr>
        <w:t>he capacity of front-line work</w:t>
      </w:r>
      <w:r w:rsidR="00F13EF8">
        <w:rPr>
          <w:rFonts w:ascii="Arial" w:hAnsi="Arial" w:cs="Arial"/>
          <w:sz w:val="24"/>
          <w:szCs w:val="24"/>
        </w:rPr>
        <w:t>ers to take on-going casework appears</w:t>
      </w:r>
      <w:r w:rsidR="000C7EB9">
        <w:rPr>
          <w:rFonts w:ascii="Arial" w:hAnsi="Arial" w:cs="Arial"/>
          <w:sz w:val="24"/>
          <w:szCs w:val="24"/>
        </w:rPr>
        <w:t xml:space="preserve"> increasingly limited</w:t>
      </w:r>
      <w:r w:rsidR="00F13EF8">
        <w:rPr>
          <w:rFonts w:ascii="Arial" w:hAnsi="Arial" w:cs="Arial"/>
          <w:sz w:val="24"/>
          <w:szCs w:val="24"/>
        </w:rPr>
        <w:t>, reducing their capacity to work on a case with</w:t>
      </w:r>
      <w:r w:rsidR="00734CBC">
        <w:rPr>
          <w:rFonts w:ascii="Arial" w:hAnsi="Arial" w:cs="Arial"/>
          <w:sz w:val="24"/>
          <w:szCs w:val="24"/>
        </w:rPr>
        <w:t xml:space="preserve"> a second-tier service. A large proportion of those using the service have been support workers, who, due to the nature of their work, have ongoing interaction with their clients.  In a few cases, for example where the front-line worker or agency is unable to retain involvement, the project took direct responsibility for the case and all communications with the claimant.</w:t>
      </w:r>
    </w:p>
    <w:p w14:paraId="5EFDC58B" w14:textId="77777777" w:rsidR="000D2163" w:rsidRDefault="000D2163" w:rsidP="000D2163">
      <w:pPr>
        <w:rPr>
          <w:rFonts w:ascii="Arial" w:hAnsi="Arial" w:cs="Arial"/>
          <w:sz w:val="24"/>
          <w:szCs w:val="24"/>
        </w:rPr>
      </w:pPr>
      <w:r w:rsidRPr="000D2163">
        <w:rPr>
          <w:rFonts w:ascii="Arial" w:hAnsi="Arial" w:cs="Arial"/>
          <w:sz w:val="24"/>
          <w:szCs w:val="24"/>
        </w:rPr>
        <w:t xml:space="preserve">An Appeal Pack </w:t>
      </w:r>
      <w:r>
        <w:rPr>
          <w:rFonts w:ascii="Arial" w:hAnsi="Arial" w:cs="Arial"/>
          <w:sz w:val="24"/>
          <w:szCs w:val="24"/>
        </w:rPr>
        <w:t xml:space="preserve">was developed </w:t>
      </w:r>
      <w:r w:rsidRPr="000D2163">
        <w:rPr>
          <w:rFonts w:ascii="Arial" w:hAnsi="Arial" w:cs="Arial"/>
          <w:sz w:val="24"/>
          <w:szCs w:val="24"/>
        </w:rPr>
        <w:t>provid</w:t>
      </w:r>
      <w:r>
        <w:rPr>
          <w:rFonts w:ascii="Arial" w:hAnsi="Arial" w:cs="Arial"/>
          <w:sz w:val="24"/>
          <w:szCs w:val="24"/>
        </w:rPr>
        <w:t>ing</w:t>
      </w:r>
      <w:r w:rsidRPr="000D2163">
        <w:rPr>
          <w:rFonts w:ascii="Arial" w:hAnsi="Arial" w:cs="Arial"/>
          <w:sz w:val="24"/>
          <w:szCs w:val="24"/>
        </w:rPr>
        <w:t xml:space="preserve"> templates and resource information.</w:t>
      </w:r>
      <w:r>
        <w:rPr>
          <w:rFonts w:ascii="Arial" w:hAnsi="Arial" w:cs="Arial"/>
          <w:sz w:val="24"/>
          <w:szCs w:val="24"/>
        </w:rPr>
        <w:t xml:space="preserve"> This was made available at training, meetings and online. Those who accessed the BATS project were given a copy for reference to support their work.</w:t>
      </w:r>
    </w:p>
    <w:p w14:paraId="48904D1F" w14:textId="77777777" w:rsidR="000D2163" w:rsidRPr="000D2163" w:rsidRDefault="000D2163" w:rsidP="000D2163">
      <w:pPr>
        <w:rPr>
          <w:rFonts w:ascii="Arial" w:hAnsi="Arial" w:cs="Arial"/>
          <w:sz w:val="24"/>
          <w:szCs w:val="24"/>
        </w:rPr>
      </w:pPr>
      <w:r w:rsidRPr="000D2163">
        <w:rPr>
          <w:rFonts w:ascii="Arial" w:hAnsi="Arial" w:cs="Arial"/>
          <w:sz w:val="24"/>
          <w:szCs w:val="24"/>
        </w:rPr>
        <w:t xml:space="preserve">Free training </w:t>
      </w:r>
      <w:r>
        <w:rPr>
          <w:rFonts w:ascii="Arial" w:hAnsi="Arial" w:cs="Arial"/>
          <w:sz w:val="24"/>
          <w:szCs w:val="24"/>
        </w:rPr>
        <w:t>was provided:</w:t>
      </w:r>
      <w:r w:rsidRPr="000D2163">
        <w:rPr>
          <w:rFonts w:ascii="Arial" w:hAnsi="Arial" w:cs="Arial"/>
          <w:sz w:val="24"/>
          <w:szCs w:val="24"/>
        </w:rPr>
        <w:t xml:space="preserve"> ‘Benefits Toolkit’ and ‘Challenging Decisions’</w:t>
      </w:r>
      <w:r>
        <w:rPr>
          <w:rFonts w:ascii="Arial" w:hAnsi="Arial" w:cs="Arial"/>
          <w:sz w:val="24"/>
          <w:szCs w:val="24"/>
        </w:rPr>
        <w:t xml:space="preserve">. These bespoke sessions were developed to meet the needs of those working with claimants in order to maximise the likelihood of better outcomes. </w:t>
      </w:r>
    </w:p>
    <w:p w14:paraId="6447BA0F" w14:textId="5D4269A9" w:rsidR="007E2B87" w:rsidRDefault="000D2163">
      <w:pPr>
        <w:rPr>
          <w:rFonts w:ascii="Arial" w:hAnsi="Arial" w:cs="Arial"/>
          <w:sz w:val="24"/>
          <w:szCs w:val="24"/>
        </w:rPr>
      </w:pPr>
      <w:r>
        <w:rPr>
          <w:rFonts w:ascii="Arial" w:hAnsi="Arial" w:cs="Arial"/>
          <w:sz w:val="24"/>
          <w:szCs w:val="24"/>
        </w:rPr>
        <w:t xml:space="preserve">BATS </w:t>
      </w:r>
      <w:r w:rsidRPr="000D2163">
        <w:rPr>
          <w:rFonts w:ascii="Arial" w:hAnsi="Arial" w:cs="Arial"/>
          <w:sz w:val="24"/>
          <w:szCs w:val="24"/>
        </w:rPr>
        <w:t>was originally funded for 12 months between October 2015 and September 2016, however the proj</w:t>
      </w:r>
      <w:r>
        <w:rPr>
          <w:rFonts w:ascii="Arial" w:hAnsi="Arial" w:cs="Arial"/>
          <w:sz w:val="24"/>
          <w:szCs w:val="24"/>
        </w:rPr>
        <w:t>ect length was extended as the project worker was not in post until December. Between October and December the service was deli</w:t>
      </w:r>
      <w:r w:rsidR="000D7C51">
        <w:rPr>
          <w:rFonts w:ascii="Arial" w:hAnsi="Arial" w:cs="Arial"/>
          <w:sz w:val="24"/>
          <w:szCs w:val="24"/>
        </w:rPr>
        <w:t>vered by the WBU advice team and</w:t>
      </w:r>
      <w:r>
        <w:rPr>
          <w:rFonts w:ascii="Arial" w:hAnsi="Arial" w:cs="Arial"/>
          <w:sz w:val="24"/>
          <w:szCs w:val="24"/>
        </w:rPr>
        <w:t xml:space="preserve"> active promotion did not begin until </w:t>
      </w:r>
      <w:r w:rsidR="00C63FA4">
        <w:rPr>
          <w:rFonts w:ascii="Arial" w:hAnsi="Arial" w:cs="Arial"/>
          <w:sz w:val="24"/>
          <w:szCs w:val="24"/>
        </w:rPr>
        <w:t>January</w:t>
      </w:r>
      <w:r>
        <w:rPr>
          <w:rFonts w:ascii="Arial" w:hAnsi="Arial" w:cs="Arial"/>
          <w:sz w:val="24"/>
          <w:szCs w:val="24"/>
        </w:rPr>
        <w:t xml:space="preserve">. </w:t>
      </w:r>
      <w:r w:rsidR="007E2B87">
        <w:rPr>
          <w:rFonts w:ascii="Arial" w:hAnsi="Arial" w:cs="Arial"/>
          <w:sz w:val="24"/>
          <w:szCs w:val="24"/>
        </w:rPr>
        <w:br w:type="page"/>
      </w:r>
    </w:p>
    <w:p w14:paraId="0D354D98" w14:textId="77777777" w:rsidR="00CA70A3" w:rsidRDefault="00CA70A3">
      <w:pPr>
        <w:rPr>
          <w:rFonts w:ascii="Arial" w:hAnsi="Arial" w:cs="Arial"/>
          <w:b/>
          <w:sz w:val="28"/>
          <w:szCs w:val="24"/>
        </w:rPr>
      </w:pPr>
      <w:r w:rsidRPr="00CA70A3">
        <w:rPr>
          <w:rFonts w:ascii="Arial" w:hAnsi="Arial" w:cs="Arial"/>
          <w:b/>
          <w:sz w:val="28"/>
          <w:szCs w:val="24"/>
        </w:rPr>
        <w:lastRenderedPageBreak/>
        <w:t>Links to financial inclusion objectives</w:t>
      </w:r>
    </w:p>
    <w:p w14:paraId="50EE69CE" w14:textId="77777777" w:rsidR="00CA70A3" w:rsidRPr="00CA70A3" w:rsidRDefault="00CA70A3">
      <w:pPr>
        <w:rPr>
          <w:rFonts w:ascii="Arial" w:hAnsi="Arial" w:cs="Arial"/>
          <w:sz w:val="24"/>
          <w:szCs w:val="24"/>
        </w:rPr>
      </w:pPr>
      <w:r w:rsidRPr="00CA70A3">
        <w:rPr>
          <w:rFonts w:ascii="Arial" w:hAnsi="Arial" w:cs="Arial"/>
          <w:sz w:val="24"/>
          <w:szCs w:val="24"/>
        </w:rPr>
        <w:t>Ensuring stability of income and maximising benefit entitlement has clear links with enabling York residents achieve positive outcomes when managing their money. This enables individuals to make clear decisions about managing their budget, prioritising spending appropriately and developing financial capability.</w:t>
      </w:r>
    </w:p>
    <w:tbl>
      <w:tblPr>
        <w:tblpPr w:leftFromText="180" w:rightFromText="180" w:vertAnchor="text" w:horzAnchor="margin" w:tblpY="457"/>
        <w:tblW w:w="950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041"/>
        <w:gridCol w:w="5463"/>
      </w:tblGrid>
      <w:tr w:rsidR="00CA70A3" w:rsidRPr="00E36603" w14:paraId="35953350" w14:textId="77777777" w:rsidTr="001E730E">
        <w:trPr>
          <w:cantSplit/>
          <w:trHeight w:val="481"/>
          <w:tblHeader/>
        </w:trPr>
        <w:tc>
          <w:tcPr>
            <w:tcW w:w="4041" w:type="dxa"/>
            <w:shd w:val="clear" w:color="auto" w:fill="E6E6E6"/>
            <w:vAlign w:val="center"/>
          </w:tcPr>
          <w:p w14:paraId="655DD668" w14:textId="77777777" w:rsidR="00CA70A3" w:rsidRPr="0064204F" w:rsidRDefault="00CA70A3" w:rsidP="001E730E">
            <w:pPr>
              <w:pStyle w:val="TableText"/>
              <w:tabs>
                <w:tab w:val="left" w:pos="0"/>
              </w:tabs>
              <w:ind w:left="360"/>
              <w:jc w:val="center"/>
              <w:rPr>
                <w:rFonts w:cs="Arial"/>
                <w:b/>
                <w:bCs/>
                <w:sz w:val="24"/>
              </w:rPr>
            </w:pPr>
            <w:r w:rsidRPr="0064204F">
              <w:rPr>
                <w:rFonts w:cs="Arial"/>
                <w:b/>
                <w:bCs/>
                <w:sz w:val="24"/>
              </w:rPr>
              <w:t>Objective</w:t>
            </w:r>
          </w:p>
        </w:tc>
        <w:tc>
          <w:tcPr>
            <w:tcW w:w="5463" w:type="dxa"/>
            <w:shd w:val="clear" w:color="auto" w:fill="E6E6E6"/>
            <w:vAlign w:val="center"/>
          </w:tcPr>
          <w:p w14:paraId="5BF73410" w14:textId="77777777" w:rsidR="00CA70A3" w:rsidRPr="0064204F" w:rsidRDefault="00CA70A3" w:rsidP="00CA70A3">
            <w:pPr>
              <w:pStyle w:val="TableText"/>
              <w:tabs>
                <w:tab w:val="left" w:pos="90"/>
              </w:tabs>
              <w:ind w:left="360"/>
              <w:jc w:val="center"/>
              <w:rPr>
                <w:rFonts w:cs="Arial"/>
                <w:b/>
                <w:bCs/>
                <w:sz w:val="24"/>
              </w:rPr>
            </w:pPr>
            <w:r>
              <w:rPr>
                <w:rFonts w:cs="Arial"/>
                <w:b/>
                <w:bCs/>
                <w:sz w:val="24"/>
              </w:rPr>
              <w:t>How the project met the objective</w:t>
            </w:r>
          </w:p>
        </w:tc>
      </w:tr>
      <w:tr w:rsidR="00CA70A3" w:rsidRPr="00E36603" w14:paraId="4DE3E03D" w14:textId="77777777" w:rsidTr="001E730E">
        <w:trPr>
          <w:cantSplit/>
          <w:trHeight w:val="442"/>
        </w:trPr>
        <w:tc>
          <w:tcPr>
            <w:tcW w:w="4041" w:type="dxa"/>
            <w:vAlign w:val="center"/>
          </w:tcPr>
          <w:p w14:paraId="37DE5450" w14:textId="1DF2C037" w:rsidR="007E2B87" w:rsidRDefault="00CA70A3" w:rsidP="001E730E">
            <w:pPr>
              <w:rPr>
                <w:rFonts w:ascii="Arial" w:hAnsi="Arial" w:cs="Arial"/>
              </w:rPr>
            </w:pPr>
            <w:r w:rsidRPr="008922E5">
              <w:rPr>
                <w:rFonts w:ascii="Arial" w:hAnsi="Arial" w:cs="Arial"/>
              </w:rPr>
              <w:t>Equip individuals with the knowledge and skills to bring about their own financial stability</w:t>
            </w:r>
          </w:p>
          <w:p w14:paraId="04C4BBA7" w14:textId="0A5F9597" w:rsidR="007E2B87" w:rsidRDefault="007E2B87" w:rsidP="007E2B87">
            <w:pPr>
              <w:rPr>
                <w:rFonts w:ascii="Arial" w:hAnsi="Arial" w:cs="Arial"/>
              </w:rPr>
            </w:pPr>
          </w:p>
          <w:p w14:paraId="0FFA83DF" w14:textId="18A1B677" w:rsidR="007E2B87" w:rsidRDefault="007E2B87" w:rsidP="007E2B87">
            <w:pPr>
              <w:rPr>
                <w:rFonts w:ascii="Arial" w:hAnsi="Arial" w:cs="Arial"/>
              </w:rPr>
            </w:pPr>
          </w:p>
          <w:p w14:paraId="0EE1AC67" w14:textId="029FB59A" w:rsidR="007E2B87" w:rsidRDefault="007E2B87" w:rsidP="007E2B87">
            <w:pPr>
              <w:rPr>
                <w:rFonts w:ascii="Arial" w:hAnsi="Arial" w:cs="Arial"/>
              </w:rPr>
            </w:pPr>
          </w:p>
          <w:p w14:paraId="440681AD" w14:textId="77777777" w:rsidR="00CA70A3" w:rsidRPr="007E2B87" w:rsidRDefault="00CA70A3" w:rsidP="007E2B87">
            <w:pPr>
              <w:rPr>
                <w:rFonts w:ascii="Arial" w:hAnsi="Arial" w:cs="Arial"/>
              </w:rPr>
            </w:pPr>
          </w:p>
        </w:tc>
        <w:tc>
          <w:tcPr>
            <w:tcW w:w="5463" w:type="dxa"/>
            <w:vAlign w:val="center"/>
          </w:tcPr>
          <w:p w14:paraId="67554924" w14:textId="77777777" w:rsidR="00CA70A3" w:rsidRPr="008922E5" w:rsidRDefault="00CA70A3" w:rsidP="001E730E">
            <w:pPr>
              <w:pStyle w:val="TableText"/>
              <w:tabs>
                <w:tab w:val="left" w:pos="90"/>
              </w:tabs>
              <w:rPr>
                <w:rFonts w:cs="Arial"/>
                <w:sz w:val="22"/>
                <w:szCs w:val="22"/>
              </w:rPr>
            </w:pPr>
            <w:r>
              <w:rPr>
                <w:rFonts w:cs="Arial"/>
                <w:sz w:val="22"/>
                <w:szCs w:val="22"/>
              </w:rPr>
              <w:t>The welfare benefits system has become increasingly complex and the move to Universal Credit creates new challenges for claimants learning to budget monthly.</w:t>
            </w:r>
            <w:r w:rsidRPr="008922E5">
              <w:rPr>
                <w:rFonts w:cs="Arial"/>
                <w:sz w:val="22"/>
                <w:szCs w:val="22"/>
              </w:rPr>
              <w:t xml:space="preserve"> Maintaining and </w:t>
            </w:r>
            <w:proofErr w:type="spellStart"/>
            <w:r w:rsidRPr="008922E5">
              <w:rPr>
                <w:rFonts w:cs="Arial"/>
                <w:sz w:val="22"/>
                <w:szCs w:val="22"/>
              </w:rPr>
              <w:t>maximising</w:t>
            </w:r>
            <w:proofErr w:type="spellEnd"/>
            <w:r w:rsidRPr="008922E5">
              <w:rPr>
                <w:rFonts w:cs="Arial"/>
                <w:sz w:val="22"/>
                <w:szCs w:val="22"/>
              </w:rPr>
              <w:t xml:space="preserve"> benefit income is essential. Helping claimants to understand the responsibilities underlying benefit claims and the consequences of changes can help with financial planning</w:t>
            </w:r>
            <w:r>
              <w:rPr>
                <w:rFonts w:cs="Arial"/>
                <w:sz w:val="22"/>
                <w:szCs w:val="22"/>
              </w:rPr>
              <w:t xml:space="preserve"> and making positive decisions which</w:t>
            </w:r>
            <w:r w:rsidRPr="008922E5">
              <w:rPr>
                <w:rFonts w:cs="Arial"/>
                <w:sz w:val="22"/>
                <w:szCs w:val="22"/>
              </w:rPr>
              <w:t xml:space="preserve"> increase household income</w:t>
            </w:r>
            <w:r>
              <w:rPr>
                <w:rFonts w:cs="Arial"/>
                <w:sz w:val="22"/>
                <w:szCs w:val="22"/>
              </w:rPr>
              <w:t xml:space="preserve"> (</w:t>
            </w:r>
            <w:proofErr w:type="spellStart"/>
            <w:r>
              <w:rPr>
                <w:rFonts w:cs="Arial"/>
                <w:sz w:val="22"/>
                <w:szCs w:val="22"/>
              </w:rPr>
              <w:t>eg</w:t>
            </w:r>
            <w:proofErr w:type="spellEnd"/>
            <w:r>
              <w:rPr>
                <w:rFonts w:cs="Arial"/>
                <w:sz w:val="22"/>
                <w:szCs w:val="22"/>
              </w:rPr>
              <w:t xml:space="preserve">. in-work benefit calculations).Supporting workers offers a way for vulnerable clients with chaotic lifestyles to access specialist advice. </w:t>
            </w:r>
            <w:r w:rsidR="00AC0069">
              <w:rPr>
                <w:rFonts w:cs="Arial"/>
                <w:sz w:val="22"/>
                <w:szCs w:val="22"/>
              </w:rPr>
              <w:t>BATS enhances the knowledge and confidence of front-line workers and their clients to enable them to successfully challenge incorrect decisions.</w:t>
            </w:r>
          </w:p>
        </w:tc>
      </w:tr>
      <w:tr w:rsidR="00CA70A3" w:rsidRPr="00E36603" w14:paraId="2A0F13D6" w14:textId="77777777" w:rsidTr="001E730E">
        <w:trPr>
          <w:cantSplit/>
          <w:trHeight w:val="365"/>
        </w:trPr>
        <w:tc>
          <w:tcPr>
            <w:tcW w:w="4041" w:type="dxa"/>
            <w:vAlign w:val="center"/>
          </w:tcPr>
          <w:p w14:paraId="3A1E6F29" w14:textId="77777777" w:rsidR="00CA70A3" w:rsidRPr="008922E5" w:rsidRDefault="00CA70A3" w:rsidP="001E730E">
            <w:pPr>
              <w:rPr>
                <w:rFonts w:ascii="Arial" w:hAnsi="Arial" w:cs="Arial"/>
              </w:rPr>
            </w:pPr>
            <w:r w:rsidRPr="008922E5">
              <w:rPr>
                <w:rFonts w:ascii="Arial" w:hAnsi="Arial" w:cs="Arial"/>
              </w:rPr>
              <w:t>Advice and information services achieve greater coordination</w:t>
            </w:r>
          </w:p>
        </w:tc>
        <w:tc>
          <w:tcPr>
            <w:tcW w:w="5463" w:type="dxa"/>
            <w:vAlign w:val="center"/>
          </w:tcPr>
          <w:p w14:paraId="3C9B3A0F" w14:textId="57DC6D48" w:rsidR="00CA70A3" w:rsidRPr="008922E5" w:rsidRDefault="00CA70A3" w:rsidP="00C63FA4">
            <w:pPr>
              <w:pStyle w:val="TableText"/>
              <w:tabs>
                <w:tab w:val="left" w:pos="90"/>
              </w:tabs>
              <w:rPr>
                <w:rFonts w:cs="Arial"/>
                <w:sz w:val="22"/>
                <w:szCs w:val="22"/>
              </w:rPr>
            </w:pPr>
            <w:r w:rsidRPr="008922E5">
              <w:rPr>
                <w:rFonts w:cs="Arial"/>
                <w:sz w:val="22"/>
                <w:szCs w:val="22"/>
              </w:rPr>
              <w:t xml:space="preserve">Providing increased support to non-advisers and thereby promoting the work of the </w:t>
            </w:r>
            <w:r>
              <w:rPr>
                <w:rFonts w:cs="Arial"/>
                <w:sz w:val="22"/>
                <w:szCs w:val="22"/>
              </w:rPr>
              <w:t xml:space="preserve">WBU ensures that workers and volunteers become increasingly aware of the resources that are available to their clients and promotes effective joint-working. BATS </w:t>
            </w:r>
            <w:r w:rsidR="000D7C51">
              <w:rPr>
                <w:rFonts w:cs="Arial"/>
                <w:sz w:val="22"/>
                <w:szCs w:val="22"/>
              </w:rPr>
              <w:t xml:space="preserve">also </w:t>
            </w:r>
            <w:r>
              <w:rPr>
                <w:rFonts w:cs="Arial"/>
                <w:sz w:val="22"/>
                <w:szCs w:val="22"/>
              </w:rPr>
              <w:t>provide</w:t>
            </w:r>
            <w:r w:rsidR="00C63FA4">
              <w:rPr>
                <w:rFonts w:cs="Arial"/>
                <w:sz w:val="22"/>
                <w:szCs w:val="22"/>
              </w:rPr>
              <w:t>d</w:t>
            </w:r>
            <w:r>
              <w:rPr>
                <w:rFonts w:cs="Arial"/>
                <w:sz w:val="22"/>
                <w:szCs w:val="22"/>
              </w:rPr>
              <w:t xml:space="preserve"> an effective service to experienced advisers. WBU is an active member of Advice York and has encouraged awareness of the partnership through its services. </w:t>
            </w:r>
          </w:p>
        </w:tc>
      </w:tr>
      <w:tr w:rsidR="00CA70A3" w:rsidRPr="00E36603" w14:paraId="1FFAD495" w14:textId="77777777" w:rsidTr="001E730E">
        <w:trPr>
          <w:cantSplit/>
          <w:trHeight w:val="400"/>
        </w:trPr>
        <w:tc>
          <w:tcPr>
            <w:tcW w:w="4041" w:type="dxa"/>
            <w:vAlign w:val="center"/>
          </w:tcPr>
          <w:p w14:paraId="1F78D009" w14:textId="77777777" w:rsidR="00CA70A3" w:rsidRPr="008922E5" w:rsidRDefault="00CA70A3" w:rsidP="001E730E">
            <w:pPr>
              <w:pStyle w:val="TableText"/>
              <w:tabs>
                <w:tab w:val="left" w:pos="-252"/>
                <w:tab w:val="left" w:pos="-162"/>
                <w:tab w:val="left" w:pos="0"/>
              </w:tabs>
              <w:ind w:left="18" w:right="108"/>
              <w:rPr>
                <w:rFonts w:cs="Arial"/>
                <w:sz w:val="22"/>
                <w:szCs w:val="22"/>
              </w:rPr>
            </w:pPr>
            <w:r w:rsidRPr="008922E5">
              <w:rPr>
                <w:rFonts w:cs="Arial"/>
                <w:sz w:val="22"/>
                <w:szCs w:val="22"/>
              </w:rPr>
              <w:t xml:space="preserve">Increase awareness and understanding of the benefits system </w:t>
            </w:r>
            <w:r>
              <w:rPr>
                <w:rFonts w:cs="Arial"/>
                <w:sz w:val="22"/>
                <w:szCs w:val="22"/>
              </w:rPr>
              <w:t xml:space="preserve"> </w:t>
            </w:r>
            <w:r w:rsidRPr="008922E5">
              <w:rPr>
                <w:rFonts w:cs="Arial"/>
                <w:sz w:val="22"/>
                <w:szCs w:val="22"/>
              </w:rPr>
              <w:t>(by residents, advisors and sign-posters)</w:t>
            </w:r>
          </w:p>
        </w:tc>
        <w:tc>
          <w:tcPr>
            <w:tcW w:w="5463" w:type="dxa"/>
            <w:vAlign w:val="center"/>
          </w:tcPr>
          <w:p w14:paraId="78D1B432" w14:textId="77777777" w:rsidR="00CA70A3" w:rsidRPr="008922E5" w:rsidRDefault="00CA70A3" w:rsidP="001E730E">
            <w:pPr>
              <w:pStyle w:val="TableText"/>
              <w:tabs>
                <w:tab w:val="left" w:pos="90"/>
              </w:tabs>
              <w:rPr>
                <w:rFonts w:cs="Arial"/>
                <w:sz w:val="22"/>
                <w:szCs w:val="22"/>
              </w:rPr>
            </w:pPr>
            <w:r>
              <w:rPr>
                <w:rFonts w:cs="Arial"/>
                <w:sz w:val="22"/>
                <w:szCs w:val="22"/>
              </w:rPr>
              <w:t>Supported help to appeal level helps workers understand the benefits system more fully and increases knowledge and confidence. This cascades to the work they do with other clients. WBU encourage advisers to empower their clients through understanding and support rather than undertaking work in isolation from the client. Targeting promotion to agencies who do not provide a direct advice role will raise awareness and promote understanding of their clients’ benefit situation and how best to support them.</w:t>
            </w:r>
          </w:p>
        </w:tc>
      </w:tr>
      <w:tr w:rsidR="00CA70A3" w:rsidRPr="00E36603" w14:paraId="01D3DC2C" w14:textId="77777777" w:rsidTr="001E730E">
        <w:trPr>
          <w:cantSplit/>
          <w:trHeight w:val="752"/>
        </w:trPr>
        <w:tc>
          <w:tcPr>
            <w:tcW w:w="4041" w:type="dxa"/>
            <w:vAlign w:val="center"/>
          </w:tcPr>
          <w:p w14:paraId="74BA19B0" w14:textId="77777777" w:rsidR="00CA70A3" w:rsidRPr="008922E5" w:rsidRDefault="00CA70A3" w:rsidP="001E730E">
            <w:pPr>
              <w:rPr>
                <w:rFonts w:ascii="Arial" w:hAnsi="Arial" w:cs="Arial"/>
              </w:rPr>
            </w:pPr>
            <w:r w:rsidRPr="008922E5">
              <w:rPr>
                <w:rFonts w:ascii="Arial" w:hAnsi="Arial" w:cs="Arial"/>
              </w:rPr>
              <w:t>Reduce cost of living (food, fuel, childcare and white goods and furniture) for those living in poverty</w:t>
            </w:r>
          </w:p>
        </w:tc>
        <w:tc>
          <w:tcPr>
            <w:tcW w:w="5463" w:type="dxa"/>
            <w:vAlign w:val="center"/>
          </w:tcPr>
          <w:p w14:paraId="227872AB" w14:textId="77777777" w:rsidR="00CA70A3" w:rsidRPr="008922E5" w:rsidRDefault="00CA70A3" w:rsidP="001E730E">
            <w:pPr>
              <w:pStyle w:val="TableText"/>
              <w:tabs>
                <w:tab w:val="left" w:pos="90"/>
              </w:tabs>
              <w:rPr>
                <w:rFonts w:cs="Arial"/>
                <w:sz w:val="22"/>
                <w:szCs w:val="22"/>
              </w:rPr>
            </w:pPr>
            <w:r>
              <w:rPr>
                <w:rFonts w:cs="Arial"/>
                <w:sz w:val="22"/>
                <w:szCs w:val="22"/>
              </w:rPr>
              <w:t>Raising awareness of sources of benefit support includes advice about YFAS and budgeting loans. Welfare benefits advice often touches on broader issues such as access to childcare, food parcel providers and low-cost furniture (such as, Community Furniture Store). Ensuring income is stable avoids penalties and interest and allows claimants to make sustainable budgeting plans.</w:t>
            </w:r>
          </w:p>
        </w:tc>
      </w:tr>
    </w:tbl>
    <w:p w14:paraId="37B2337D" w14:textId="77777777" w:rsidR="00CA70A3" w:rsidRDefault="00CA70A3">
      <w:pPr>
        <w:rPr>
          <w:rFonts w:ascii="Arial" w:hAnsi="Arial" w:cs="Arial"/>
          <w:sz w:val="28"/>
          <w:szCs w:val="24"/>
        </w:rPr>
      </w:pPr>
    </w:p>
    <w:p w14:paraId="15BBA4A6" w14:textId="77777777" w:rsidR="00CA70A3" w:rsidRDefault="00CA70A3">
      <w:pPr>
        <w:rPr>
          <w:rFonts w:ascii="Arial" w:hAnsi="Arial" w:cs="Arial"/>
          <w:b/>
          <w:sz w:val="28"/>
          <w:szCs w:val="24"/>
        </w:rPr>
      </w:pPr>
    </w:p>
    <w:p w14:paraId="5AA833EB" w14:textId="77777777" w:rsidR="00CA70A3" w:rsidRDefault="00CA70A3">
      <w:pPr>
        <w:rPr>
          <w:rFonts w:ascii="Arial" w:hAnsi="Arial" w:cs="Arial"/>
          <w:b/>
          <w:sz w:val="28"/>
          <w:szCs w:val="24"/>
        </w:rPr>
      </w:pPr>
    </w:p>
    <w:p w14:paraId="4162F66B" w14:textId="77777777" w:rsidR="007E2B87" w:rsidRDefault="007E2B87">
      <w:pPr>
        <w:rPr>
          <w:rFonts w:ascii="Arial" w:hAnsi="Arial" w:cs="Arial"/>
          <w:b/>
          <w:sz w:val="28"/>
          <w:szCs w:val="24"/>
        </w:rPr>
      </w:pPr>
      <w:r>
        <w:rPr>
          <w:rFonts w:ascii="Arial" w:hAnsi="Arial" w:cs="Arial"/>
          <w:b/>
          <w:sz w:val="28"/>
          <w:szCs w:val="24"/>
        </w:rPr>
        <w:br w:type="page"/>
      </w:r>
    </w:p>
    <w:p w14:paraId="01DCA062" w14:textId="25517785" w:rsidR="00CA70A3" w:rsidRDefault="00CA70A3">
      <w:pPr>
        <w:rPr>
          <w:rFonts w:ascii="Arial" w:hAnsi="Arial" w:cs="Arial"/>
          <w:b/>
          <w:sz w:val="28"/>
          <w:szCs w:val="24"/>
        </w:rPr>
      </w:pPr>
      <w:r w:rsidRPr="00CA70A3">
        <w:rPr>
          <w:rFonts w:ascii="Arial" w:hAnsi="Arial" w:cs="Arial"/>
          <w:b/>
          <w:sz w:val="28"/>
          <w:szCs w:val="24"/>
        </w:rPr>
        <w:lastRenderedPageBreak/>
        <w:t>PROJECT BENEFITS</w:t>
      </w:r>
    </w:p>
    <w:p w14:paraId="08017332" w14:textId="77777777" w:rsidR="00537D89" w:rsidRPr="007E2B87" w:rsidRDefault="00537D89">
      <w:pPr>
        <w:rPr>
          <w:rFonts w:ascii="Arial" w:hAnsi="Arial" w:cs="Arial"/>
          <w:b/>
          <w:szCs w:val="24"/>
        </w:rPr>
      </w:pPr>
    </w:p>
    <w:tbl>
      <w:tblPr>
        <w:tblStyle w:val="TableGrid"/>
        <w:tblW w:w="0" w:type="auto"/>
        <w:tblLook w:val="04A0" w:firstRow="1" w:lastRow="0" w:firstColumn="1" w:lastColumn="0" w:noHBand="0" w:noVBand="1"/>
      </w:tblPr>
      <w:tblGrid>
        <w:gridCol w:w="3005"/>
        <w:gridCol w:w="2377"/>
        <w:gridCol w:w="3634"/>
      </w:tblGrid>
      <w:tr w:rsidR="00537D89" w14:paraId="45421F0B" w14:textId="77777777" w:rsidTr="004B08FB">
        <w:tc>
          <w:tcPr>
            <w:tcW w:w="3005" w:type="dxa"/>
            <w:shd w:val="clear" w:color="auto" w:fill="E7E6E6" w:themeFill="background2"/>
          </w:tcPr>
          <w:p w14:paraId="3AAD035C" w14:textId="77777777" w:rsidR="00537D89" w:rsidRPr="00537D89" w:rsidRDefault="00537D89">
            <w:pPr>
              <w:rPr>
                <w:rFonts w:ascii="Arial" w:hAnsi="Arial" w:cs="Arial"/>
                <w:b/>
                <w:sz w:val="24"/>
                <w:szCs w:val="24"/>
              </w:rPr>
            </w:pPr>
            <w:r>
              <w:rPr>
                <w:rFonts w:ascii="Arial" w:hAnsi="Arial" w:cs="Arial"/>
                <w:b/>
                <w:sz w:val="24"/>
                <w:szCs w:val="24"/>
              </w:rPr>
              <w:t>Benefit</w:t>
            </w:r>
          </w:p>
        </w:tc>
        <w:tc>
          <w:tcPr>
            <w:tcW w:w="2377" w:type="dxa"/>
            <w:shd w:val="clear" w:color="auto" w:fill="E7E6E6" w:themeFill="background2"/>
          </w:tcPr>
          <w:p w14:paraId="1A66A1C1" w14:textId="77777777" w:rsidR="00537D89" w:rsidRPr="00537D89" w:rsidRDefault="00537D89">
            <w:pPr>
              <w:rPr>
                <w:rFonts w:ascii="Arial" w:hAnsi="Arial" w:cs="Arial"/>
                <w:b/>
                <w:sz w:val="24"/>
                <w:szCs w:val="24"/>
              </w:rPr>
            </w:pPr>
            <w:r w:rsidRPr="00537D89">
              <w:rPr>
                <w:rFonts w:ascii="Arial" w:hAnsi="Arial" w:cs="Arial"/>
                <w:b/>
                <w:sz w:val="24"/>
                <w:szCs w:val="24"/>
              </w:rPr>
              <w:t>Performance Measure</w:t>
            </w:r>
          </w:p>
        </w:tc>
        <w:tc>
          <w:tcPr>
            <w:tcW w:w="3634" w:type="dxa"/>
            <w:shd w:val="clear" w:color="auto" w:fill="E7E6E6" w:themeFill="background2"/>
          </w:tcPr>
          <w:p w14:paraId="6E581C49" w14:textId="77777777" w:rsidR="00537D89" w:rsidRPr="00537D89" w:rsidRDefault="00537D89">
            <w:pPr>
              <w:rPr>
                <w:rFonts w:ascii="Arial" w:hAnsi="Arial" w:cs="Arial"/>
                <w:b/>
                <w:sz w:val="24"/>
                <w:szCs w:val="24"/>
              </w:rPr>
            </w:pPr>
            <w:r w:rsidRPr="00537D89">
              <w:rPr>
                <w:rFonts w:ascii="Arial" w:hAnsi="Arial" w:cs="Arial"/>
                <w:b/>
                <w:sz w:val="24"/>
                <w:szCs w:val="24"/>
              </w:rPr>
              <w:t>Project outcome</w:t>
            </w:r>
          </w:p>
        </w:tc>
      </w:tr>
      <w:tr w:rsidR="00537D89" w14:paraId="0F85DBC5" w14:textId="77777777" w:rsidTr="004B08FB">
        <w:tc>
          <w:tcPr>
            <w:tcW w:w="3005" w:type="dxa"/>
          </w:tcPr>
          <w:p w14:paraId="14ADD306" w14:textId="77777777" w:rsidR="00537D89" w:rsidRDefault="00537D89">
            <w:pPr>
              <w:rPr>
                <w:rFonts w:ascii="Arial" w:hAnsi="Arial" w:cs="Arial"/>
                <w:sz w:val="24"/>
                <w:szCs w:val="24"/>
              </w:rPr>
            </w:pPr>
          </w:p>
          <w:p w14:paraId="6B85417A" w14:textId="77777777" w:rsidR="00537D89" w:rsidRDefault="00537D89">
            <w:pPr>
              <w:rPr>
                <w:rFonts w:ascii="Arial" w:hAnsi="Arial" w:cs="Arial"/>
                <w:sz w:val="24"/>
                <w:szCs w:val="24"/>
              </w:rPr>
            </w:pPr>
            <w:r>
              <w:rPr>
                <w:rFonts w:ascii="Arial" w:hAnsi="Arial" w:cs="Arial"/>
                <w:sz w:val="24"/>
                <w:szCs w:val="24"/>
              </w:rPr>
              <w:t>Second-tier support to advisers/workers to help their clients challenge benefit decisions.</w:t>
            </w:r>
          </w:p>
          <w:p w14:paraId="722DDD47" w14:textId="77777777" w:rsidR="00537D89" w:rsidRDefault="00537D89">
            <w:pPr>
              <w:rPr>
                <w:rFonts w:ascii="Arial" w:hAnsi="Arial" w:cs="Arial"/>
                <w:sz w:val="24"/>
                <w:szCs w:val="24"/>
              </w:rPr>
            </w:pPr>
          </w:p>
        </w:tc>
        <w:tc>
          <w:tcPr>
            <w:tcW w:w="2377" w:type="dxa"/>
          </w:tcPr>
          <w:p w14:paraId="648EE5A7" w14:textId="77777777" w:rsidR="00537D89" w:rsidRDefault="00537D89">
            <w:pPr>
              <w:rPr>
                <w:rFonts w:ascii="Arial" w:hAnsi="Arial" w:cs="Arial"/>
                <w:sz w:val="24"/>
                <w:szCs w:val="24"/>
              </w:rPr>
            </w:pPr>
          </w:p>
          <w:p w14:paraId="590D110E" w14:textId="77777777" w:rsidR="00537D89" w:rsidRDefault="00537D89">
            <w:pPr>
              <w:rPr>
                <w:rFonts w:ascii="Arial" w:hAnsi="Arial" w:cs="Arial"/>
                <w:sz w:val="24"/>
                <w:szCs w:val="24"/>
              </w:rPr>
            </w:pPr>
          </w:p>
          <w:p w14:paraId="65543AAC" w14:textId="77777777" w:rsidR="00537D89" w:rsidRDefault="00537D89">
            <w:pPr>
              <w:rPr>
                <w:rFonts w:ascii="Arial" w:hAnsi="Arial" w:cs="Arial"/>
                <w:sz w:val="24"/>
                <w:szCs w:val="24"/>
              </w:rPr>
            </w:pPr>
            <w:r>
              <w:rPr>
                <w:rFonts w:ascii="Arial" w:hAnsi="Arial" w:cs="Arial"/>
                <w:sz w:val="24"/>
                <w:szCs w:val="24"/>
              </w:rPr>
              <w:t>80 instances</w:t>
            </w:r>
          </w:p>
        </w:tc>
        <w:tc>
          <w:tcPr>
            <w:tcW w:w="3634" w:type="dxa"/>
          </w:tcPr>
          <w:p w14:paraId="6B5BCA99" w14:textId="77777777" w:rsidR="00537D89" w:rsidRDefault="00537D89">
            <w:pPr>
              <w:rPr>
                <w:rFonts w:ascii="Arial" w:hAnsi="Arial" w:cs="Arial"/>
                <w:sz w:val="24"/>
                <w:szCs w:val="24"/>
              </w:rPr>
            </w:pPr>
          </w:p>
          <w:p w14:paraId="50F5CAC4" w14:textId="3E594AC8" w:rsidR="00734CBC" w:rsidRDefault="00862D24" w:rsidP="005B4742">
            <w:pPr>
              <w:rPr>
                <w:rFonts w:ascii="Arial" w:hAnsi="Arial" w:cs="Arial"/>
                <w:sz w:val="24"/>
                <w:szCs w:val="24"/>
              </w:rPr>
            </w:pPr>
            <w:r>
              <w:rPr>
                <w:rFonts w:ascii="Arial" w:hAnsi="Arial" w:cs="Arial"/>
                <w:b/>
                <w:sz w:val="24"/>
                <w:szCs w:val="24"/>
              </w:rPr>
              <w:t>80</w:t>
            </w:r>
            <w:r w:rsidR="00734CBC">
              <w:rPr>
                <w:rFonts w:ascii="Arial" w:hAnsi="Arial" w:cs="Arial"/>
                <w:sz w:val="24"/>
                <w:szCs w:val="24"/>
              </w:rPr>
              <w:t xml:space="preserve"> </w:t>
            </w:r>
            <w:r w:rsidR="005B4742">
              <w:rPr>
                <w:rFonts w:ascii="Arial" w:hAnsi="Arial" w:cs="Arial"/>
                <w:sz w:val="24"/>
                <w:szCs w:val="24"/>
              </w:rPr>
              <w:t>instances, to 7</w:t>
            </w:r>
            <w:r>
              <w:rPr>
                <w:rFonts w:ascii="Arial" w:hAnsi="Arial" w:cs="Arial"/>
                <w:sz w:val="24"/>
                <w:szCs w:val="24"/>
              </w:rPr>
              <w:t>6</w:t>
            </w:r>
            <w:r w:rsidR="005B4742">
              <w:rPr>
                <w:rFonts w:ascii="Arial" w:hAnsi="Arial" w:cs="Arial"/>
                <w:sz w:val="24"/>
                <w:szCs w:val="24"/>
              </w:rPr>
              <w:t xml:space="preserve"> individuals</w:t>
            </w:r>
            <w:r w:rsidR="00C63FA4">
              <w:rPr>
                <w:rFonts w:ascii="Arial" w:hAnsi="Arial" w:cs="Arial"/>
                <w:sz w:val="24"/>
                <w:szCs w:val="24"/>
              </w:rPr>
              <w:t>; incidental advice also given</w:t>
            </w:r>
            <w:r w:rsidR="000D7C51">
              <w:rPr>
                <w:rFonts w:ascii="Arial" w:hAnsi="Arial" w:cs="Arial"/>
                <w:sz w:val="24"/>
                <w:szCs w:val="24"/>
              </w:rPr>
              <w:t>.</w:t>
            </w:r>
          </w:p>
          <w:p w14:paraId="3B7841EC" w14:textId="142455A1" w:rsidR="005B4742" w:rsidRDefault="005B4742" w:rsidP="005B4742">
            <w:pPr>
              <w:rPr>
                <w:rFonts w:ascii="Arial" w:hAnsi="Arial" w:cs="Arial"/>
                <w:sz w:val="24"/>
                <w:szCs w:val="24"/>
              </w:rPr>
            </w:pPr>
          </w:p>
        </w:tc>
      </w:tr>
      <w:tr w:rsidR="00537D89" w14:paraId="09407B4C" w14:textId="77777777" w:rsidTr="004B08FB">
        <w:tc>
          <w:tcPr>
            <w:tcW w:w="3005" w:type="dxa"/>
          </w:tcPr>
          <w:p w14:paraId="1D4CD0A9" w14:textId="77777777" w:rsidR="00537D89" w:rsidRDefault="00537D89">
            <w:pPr>
              <w:rPr>
                <w:rFonts w:ascii="Arial" w:hAnsi="Arial" w:cs="Arial"/>
                <w:sz w:val="24"/>
                <w:szCs w:val="24"/>
              </w:rPr>
            </w:pPr>
          </w:p>
          <w:p w14:paraId="26EDB0CC" w14:textId="77777777" w:rsidR="00537D89" w:rsidRDefault="00537D89">
            <w:pPr>
              <w:rPr>
                <w:rFonts w:ascii="Arial" w:hAnsi="Arial" w:cs="Arial"/>
                <w:sz w:val="24"/>
                <w:szCs w:val="24"/>
              </w:rPr>
            </w:pPr>
            <w:r>
              <w:rPr>
                <w:rFonts w:ascii="Arial" w:hAnsi="Arial" w:cs="Arial"/>
                <w:sz w:val="24"/>
                <w:szCs w:val="24"/>
              </w:rPr>
              <w:t>Representation at appeal involving direct claimant contact.</w:t>
            </w:r>
          </w:p>
          <w:p w14:paraId="07A44DF1" w14:textId="77777777" w:rsidR="00537D89" w:rsidRDefault="00537D89">
            <w:pPr>
              <w:rPr>
                <w:rFonts w:ascii="Arial" w:hAnsi="Arial" w:cs="Arial"/>
                <w:sz w:val="24"/>
                <w:szCs w:val="24"/>
              </w:rPr>
            </w:pPr>
          </w:p>
        </w:tc>
        <w:tc>
          <w:tcPr>
            <w:tcW w:w="2377" w:type="dxa"/>
          </w:tcPr>
          <w:p w14:paraId="454EC322" w14:textId="77777777" w:rsidR="00537D89" w:rsidRDefault="00537D89">
            <w:pPr>
              <w:rPr>
                <w:rFonts w:ascii="Arial" w:hAnsi="Arial" w:cs="Arial"/>
                <w:sz w:val="24"/>
                <w:szCs w:val="24"/>
              </w:rPr>
            </w:pPr>
          </w:p>
          <w:p w14:paraId="79A0CC1C" w14:textId="77777777" w:rsidR="00537D89" w:rsidRDefault="00537D89">
            <w:pPr>
              <w:rPr>
                <w:rFonts w:ascii="Arial" w:hAnsi="Arial" w:cs="Arial"/>
                <w:sz w:val="24"/>
                <w:szCs w:val="24"/>
              </w:rPr>
            </w:pPr>
          </w:p>
          <w:p w14:paraId="28C3496E" w14:textId="77777777" w:rsidR="00537D89" w:rsidRDefault="00537D89">
            <w:pPr>
              <w:rPr>
                <w:rFonts w:ascii="Arial" w:hAnsi="Arial" w:cs="Arial"/>
                <w:sz w:val="24"/>
                <w:szCs w:val="24"/>
              </w:rPr>
            </w:pPr>
            <w:r>
              <w:rPr>
                <w:rFonts w:ascii="Arial" w:hAnsi="Arial" w:cs="Arial"/>
                <w:sz w:val="24"/>
                <w:szCs w:val="24"/>
              </w:rPr>
              <w:t>10 instances</w:t>
            </w:r>
          </w:p>
        </w:tc>
        <w:tc>
          <w:tcPr>
            <w:tcW w:w="3634" w:type="dxa"/>
          </w:tcPr>
          <w:p w14:paraId="66E4D328" w14:textId="77777777" w:rsidR="00537D89" w:rsidRDefault="00537D89">
            <w:pPr>
              <w:rPr>
                <w:rFonts w:ascii="Arial" w:hAnsi="Arial" w:cs="Arial"/>
                <w:sz w:val="24"/>
                <w:szCs w:val="24"/>
              </w:rPr>
            </w:pPr>
          </w:p>
          <w:p w14:paraId="34FC0846" w14:textId="77777777" w:rsidR="00C63FA4" w:rsidRDefault="00C63FA4" w:rsidP="00C63FA4">
            <w:pPr>
              <w:rPr>
                <w:rFonts w:ascii="Arial" w:hAnsi="Arial" w:cs="Arial"/>
                <w:b/>
                <w:sz w:val="24"/>
                <w:szCs w:val="24"/>
              </w:rPr>
            </w:pPr>
          </w:p>
          <w:p w14:paraId="43D627E4" w14:textId="5FC7D97F" w:rsidR="00C63FA4" w:rsidRDefault="00C63FA4" w:rsidP="00C63FA4">
            <w:pPr>
              <w:rPr>
                <w:rFonts w:ascii="Arial" w:hAnsi="Arial" w:cs="Arial"/>
                <w:b/>
                <w:sz w:val="24"/>
                <w:szCs w:val="24"/>
              </w:rPr>
            </w:pPr>
            <w:r>
              <w:rPr>
                <w:rFonts w:ascii="Arial" w:hAnsi="Arial" w:cs="Arial"/>
                <w:b/>
                <w:sz w:val="24"/>
                <w:szCs w:val="24"/>
              </w:rPr>
              <w:t xml:space="preserve">Total: </w:t>
            </w:r>
            <w:r w:rsidR="00B34A25">
              <w:rPr>
                <w:rFonts w:ascii="Arial" w:hAnsi="Arial" w:cs="Arial"/>
                <w:b/>
                <w:sz w:val="24"/>
                <w:szCs w:val="24"/>
              </w:rPr>
              <w:t>22</w:t>
            </w:r>
            <w:r w:rsidR="000D7C51">
              <w:rPr>
                <w:rFonts w:ascii="Arial" w:hAnsi="Arial" w:cs="Arial"/>
                <w:b/>
                <w:sz w:val="24"/>
                <w:szCs w:val="24"/>
              </w:rPr>
              <w:t>, 6 pending</w:t>
            </w:r>
          </w:p>
          <w:p w14:paraId="09C53417" w14:textId="77777777" w:rsidR="00C63FA4" w:rsidRDefault="00C63FA4" w:rsidP="00C63FA4">
            <w:pPr>
              <w:rPr>
                <w:rFonts w:ascii="Arial" w:hAnsi="Arial" w:cs="Arial"/>
                <w:b/>
                <w:sz w:val="24"/>
                <w:szCs w:val="24"/>
              </w:rPr>
            </w:pPr>
          </w:p>
          <w:p w14:paraId="0E328AA1" w14:textId="666A8521" w:rsidR="00C63FA4" w:rsidRDefault="00C63FA4" w:rsidP="00C63FA4">
            <w:pPr>
              <w:rPr>
                <w:rFonts w:ascii="Arial" w:hAnsi="Arial" w:cs="Arial"/>
                <w:sz w:val="24"/>
                <w:szCs w:val="24"/>
              </w:rPr>
            </w:pPr>
            <w:r w:rsidRPr="00C63FA4">
              <w:rPr>
                <w:rFonts w:ascii="Arial" w:hAnsi="Arial" w:cs="Arial"/>
                <w:b/>
                <w:sz w:val="24"/>
                <w:szCs w:val="24"/>
              </w:rPr>
              <w:t>10</w:t>
            </w:r>
            <w:r>
              <w:rPr>
                <w:rFonts w:ascii="Arial" w:hAnsi="Arial" w:cs="Arial"/>
                <w:sz w:val="24"/>
                <w:szCs w:val="24"/>
              </w:rPr>
              <w:t xml:space="preserve"> direct representation at an oral </w:t>
            </w:r>
            <w:r w:rsidR="0071060F">
              <w:rPr>
                <w:rFonts w:ascii="Arial" w:hAnsi="Arial" w:cs="Arial"/>
                <w:sz w:val="24"/>
                <w:szCs w:val="24"/>
              </w:rPr>
              <w:t xml:space="preserve">First-tier </w:t>
            </w:r>
            <w:r>
              <w:rPr>
                <w:rFonts w:ascii="Arial" w:hAnsi="Arial" w:cs="Arial"/>
                <w:sz w:val="24"/>
                <w:szCs w:val="24"/>
              </w:rPr>
              <w:t>Tribunal hearing; 8 attended and 2 confirmed in February</w:t>
            </w:r>
            <w:r w:rsidR="000D7C51">
              <w:rPr>
                <w:rFonts w:ascii="Arial" w:hAnsi="Arial" w:cs="Arial"/>
                <w:sz w:val="24"/>
                <w:szCs w:val="24"/>
              </w:rPr>
              <w:t>. Further 3 cases are</w:t>
            </w:r>
            <w:r>
              <w:rPr>
                <w:rFonts w:ascii="Arial" w:hAnsi="Arial" w:cs="Arial"/>
                <w:sz w:val="24"/>
                <w:szCs w:val="24"/>
              </w:rPr>
              <w:t xml:space="preserve"> likely pending agreement and dates</w:t>
            </w:r>
            <w:r w:rsidR="000D7C51">
              <w:rPr>
                <w:rFonts w:ascii="Arial" w:hAnsi="Arial" w:cs="Arial"/>
                <w:sz w:val="24"/>
                <w:szCs w:val="24"/>
              </w:rPr>
              <w:t>.</w:t>
            </w:r>
          </w:p>
          <w:p w14:paraId="66E5852A" w14:textId="77777777" w:rsidR="00C63FA4" w:rsidRDefault="00C63FA4">
            <w:pPr>
              <w:rPr>
                <w:rFonts w:ascii="Arial" w:hAnsi="Arial" w:cs="Arial"/>
                <w:sz w:val="24"/>
                <w:szCs w:val="24"/>
              </w:rPr>
            </w:pPr>
          </w:p>
          <w:p w14:paraId="73858955" w14:textId="5E9949E4" w:rsidR="0027718F" w:rsidRDefault="000D7C51">
            <w:pPr>
              <w:rPr>
                <w:rFonts w:ascii="Arial" w:hAnsi="Arial" w:cs="Arial"/>
                <w:sz w:val="24"/>
                <w:szCs w:val="24"/>
              </w:rPr>
            </w:pPr>
            <w:r w:rsidRPr="006A4E3E">
              <w:rPr>
                <w:rFonts w:ascii="Arial" w:hAnsi="Arial" w:cs="Arial"/>
                <w:b/>
                <w:sz w:val="24"/>
                <w:szCs w:val="24"/>
              </w:rPr>
              <w:t>7</w:t>
            </w:r>
            <w:r w:rsidR="00734CBC">
              <w:rPr>
                <w:rFonts w:ascii="Arial" w:hAnsi="Arial" w:cs="Arial"/>
                <w:sz w:val="24"/>
                <w:szCs w:val="24"/>
              </w:rPr>
              <w:t xml:space="preserve"> written submissions </w:t>
            </w:r>
            <w:r w:rsidR="0071060F">
              <w:rPr>
                <w:rFonts w:ascii="Arial" w:hAnsi="Arial" w:cs="Arial"/>
                <w:sz w:val="24"/>
                <w:szCs w:val="24"/>
              </w:rPr>
              <w:t xml:space="preserve">only </w:t>
            </w:r>
            <w:r w:rsidR="00734CBC">
              <w:rPr>
                <w:rFonts w:ascii="Arial" w:hAnsi="Arial" w:cs="Arial"/>
                <w:sz w:val="24"/>
                <w:szCs w:val="24"/>
              </w:rPr>
              <w:t>to First-tier Tribunal</w:t>
            </w:r>
          </w:p>
          <w:p w14:paraId="52D05F31" w14:textId="10EFB721" w:rsidR="00862D24" w:rsidRDefault="00862D24">
            <w:pPr>
              <w:rPr>
                <w:rFonts w:ascii="Arial" w:hAnsi="Arial" w:cs="Arial"/>
                <w:sz w:val="24"/>
                <w:szCs w:val="24"/>
              </w:rPr>
            </w:pPr>
            <w:r>
              <w:rPr>
                <w:rFonts w:ascii="Arial" w:hAnsi="Arial" w:cs="Arial"/>
                <w:sz w:val="24"/>
                <w:szCs w:val="24"/>
              </w:rPr>
              <w:t>Written submissio</w:t>
            </w:r>
            <w:r w:rsidR="000D7C51">
              <w:rPr>
                <w:rFonts w:ascii="Arial" w:hAnsi="Arial" w:cs="Arial"/>
                <w:sz w:val="24"/>
                <w:szCs w:val="24"/>
              </w:rPr>
              <w:t>ns to be provided in a further 3</w:t>
            </w:r>
            <w:r>
              <w:rPr>
                <w:rFonts w:ascii="Arial" w:hAnsi="Arial" w:cs="Arial"/>
                <w:sz w:val="24"/>
                <w:szCs w:val="24"/>
              </w:rPr>
              <w:t xml:space="preserve"> cases once appeal papers received</w:t>
            </w:r>
            <w:r w:rsidR="000D7C51">
              <w:rPr>
                <w:rFonts w:ascii="Arial" w:hAnsi="Arial" w:cs="Arial"/>
                <w:sz w:val="24"/>
                <w:szCs w:val="24"/>
              </w:rPr>
              <w:t>.</w:t>
            </w:r>
          </w:p>
          <w:p w14:paraId="22437BC0" w14:textId="77777777" w:rsidR="0071060F" w:rsidRDefault="0071060F">
            <w:pPr>
              <w:rPr>
                <w:rFonts w:ascii="Arial" w:hAnsi="Arial" w:cs="Arial"/>
                <w:sz w:val="24"/>
                <w:szCs w:val="24"/>
              </w:rPr>
            </w:pPr>
          </w:p>
          <w:p w14:paraId="0A9A7799" w14:textId="5751263B" w:rsidR="00D7392C" w:rsidRDefault="0071060F" w:rsidP="0071060F">
            <w:pPr>
              <w:rPr>
                <w:rFonts w:ascii="Arial" w:hAnsi="Arial" w:cs="Arial"/>
                <w:sz w:val="24"/>
                <w:szCs w:val="24"/>
              </w:rPr>
            </w:pPr>
            <w:r>
              <w:rPr>
                <w:rFonts w:ascii="Arial" w:hAnsi="Arial" w:cs="Arial"/>
                <w:b/>
                <w:sz w:val="24"/>
                <w:szCs w:val="24"/>
              </w:rPr>
              <w:t xml:space="preserve">5 </w:t>
            </w:r>
            <w:r>
              <w:rPr>
                <w:rFonts w:ascii="Arial" w:hAnsi="Arial" w:cs="Arial"/>
                <w:sz w:val="24"/>
                <w:szCs w:val="24"/>
              </w:rPr>
              <w:t>d</w:t>
            </w:r>
            <w:r w:rsidR="00D7392C">
              <w:rPr>
                <w:rFonts w:ascii="Arial" w:hAnsi="Arial" w:cs="Arial"/>
                <w:sz w:val="24"/>
                <w:szCs w:val="24"/>
              </w:rPr>
              <w:t>etailed guidance</w:t>
            </w:r>
            <w:r w:rsidR="00CE4C2E">
              <w:rPr>
                <w:rFonts w:ascii="Arial" w:hAnsi="Arial" w:cs="Arial"/>
                <w:sz w:val="24"/>
                <w:szCs w:val="24"/>
              </w:rPr>
              <w:t xml:space="preserve"> </w:t>
            </w:r>
            <w:r>
              <w:rPr>
                <w:rFonts w:ascii="Arial" w:hAnsi="Arial" w:cs="Arial"/>
                <w:sz w:val="24"/>
                <w:szCs w:val="24"/>
              </w:rPr>
              <w:t xml:space="preserve">on </w:t>
            </w:r>
            <w:r w:rsidR="00CE4C2E">
              <w:rPr>
                <w:rFonts w:ascii="Arial" w:hAnsi="Arial" w:cs="Arial"/>
                <w:sz w:val="24"/>
                <w:szCs w:val="24"/>
              </w:rPr>
              <w:t>submission</w:t>
            </w:r>
            <w:r w:rsidR="000D7C51">
              <w:rPr>
                <w:rFonts w:ascii="Arial" w:hAnsi="Arial" w:cs="Arial"/>
                <w:sz w:val="24"/>
                <w:szCs w:val="24"/>
              </w:rPr>
              <w:t>.</w:t>
            </w:r>
            <w:r w:rsidR="00CE4C2E">
              <w:rPr>
                <w:rFonts w:ascii="Arial" w:hAnsi="Arial" w:cs="Arial"/>
                <w:sz w:val="24"/>
                <w:szCs w:val="24"/>
              </w:rPr>
              <w:t xml:space="preserve"> </w:t>
            </w:r>
          </w:p>
          <w:p w14:paraId="67ECEB5A" w14:textId="77777777" w:rsidR="000E17D6" w:rsidRDefault="000E17D6" w:rsidP="0071060F">
            <w:pPr>
              <w:rPr>
                <w:rFonts w:ascii="Arial" w:hAnsi="Arial" w:cs="Arial"/>
                <w:sz w:val="24"/>
                <w:szCs w:val="24"/>
              </w:rPr>
            </w:pPr>
          </w:p>
          <w:p w14:paraId="070DD5D5" w14:textId="09A65990" w:rsidR="000E17D6" w:rsidRPr="000E17D6" w:rsidRDefault="000E17D6" w:rsidP="0071060F">
            <w:pPr>
              <w:rPr>
                <w:rFonts w:ascii="Arial" w:hAnsi="Arial" w:cs="Arial"/>
                <w:sz w:val="24"/>
                <w:szCs w:val="24"/>
              </w:rPr>
            </w:pPr>
            <w:r>
              <w:rPr>
                <w:rFonts w:ascii="Arial" w:hAnsi="Arial" w:cs="Arial"/>
                <w:b/>
                <w:sz w:val="24"/>
                <w:szCs w:val="24"/>
              </w:rPr>
              <w:t>Note</w:t>
            </w:r>
            <w:r>
              <w:rPr>
                <w:rFonts w:ascii="Arial" w:hAnsi="Arial" w:cs="Arial"/>
                <w:sz w:val="24"/>
                <w:szCs w:val="24"/>
              </w:rPr>
              <w:t>: other cases were taken forward without direct client contact</w:t>
            </w:r>
            <w:r w:rsidR="00965DE5">
              <w:rPr>
                <w:rFonts w:ascii="Arial" w:hAnsi="Arial" w:cs="Arial"/>
                <w:sz w:val="24"/>
                <w:szCs w:val="24"/>
              </w:rPr>
              <w:t xml:space="preserve"> or without direct representation</w:t>
            </w:r>
            <w:r>
              <w:rPr>
                <w:rFonts w:ascii="Arial" w:hAnsi="Arial" w:cs="Arial"/>
                <w:sz w:val="24"/>
                <w:szCs w:val="24"/>
              </w:rPr>
              <w:t>.</w:t>
            </w:r>
          </w:p>
          <w:p w14:paraId="11EF27B4" w14:textId="77777777" w:rsidR="0071060F" w:rsidRDefault="0071060F" w:rsidP="0071060F">
            <w:pPr>
              <w:rPr>
                <w:rFonts w:ascii="Arial" w:hAnsi="Arial" w:cs="Arial"/>
                <w:sz w:val="24"/>
                <w:szCs w:val="24"/>
              </w:rPr>
            </w:pPr>
          </w:p>
          <w:p w14:paraId="4624B4FF" w14:textId="085D636D" w:rsidR="0071060F" w:rsidRPr="0071060F" w:rsidRDefault="0071060F" w:rsidP="00707E0D">
            <w:pPr>
              <w:rPr>
                <w:rFonts w:ascii="Arial" w:hAnsi="Arial" w:cs="Arial"/>
                <w:sz w:val="24"/>
                <w:szCs w:val="24"/>
              </w:rPr>
            </w:pPr>
          </w:p>
        </w:tc>
      </w:tr>
      <w:tr w:rsidR="00537D89" w14:paraId="0F4AA4D5" w14:textId="77777777" w:rsidTr="004B08FB">
        <w:tc>
          <w:tcPr>
            <w:tcW w:w="3005" w:type="dxa"/>
          </w:tcPr>
          <w:p w14:paraId="09C6D23A" w14:textId="77777777" w:rsidR="00537D89" w:rsidRDefault="00537D89">
            <w:pPr>
              <w:rPr>
                <w:rFonts w:ascii="Arial" w:hAnsi="Arial" w:cs="Arial"/>
                <w:sz w:val="24"/>
                <w:szCs w:val="24"/>
              </w:rPr>
            </w:pPr>
          </w:p>
          <w:p w14:paraId="2B7BB6B7" w14:textId="77777777" w:rsidR="00537D89" w:rsidRDefault="00537D89">
            <w:pPr>
              <w:rPr>
                <w:rFonts w:ascii="Arial" w:hAnsi="Arial" w:cs="Arial"/>
                <w:sz w:val="24"/>
                <w:szCs w:val="24"/>
              </w:rPr>
            </w:pPr>
            <w:r>
              <w:rPr>
                <w:rFonts w:ascii="Arial" w:hAnsi="Arial" w:cs="Arial"/>
                <w:sz w:val="24"/>
                <w:szCs w:val="24"/>
              </w:rPr>
              <w:t>Training sessions: Benefits Toolkit and Challenging Decisions</w:t>
            </w:r>
          </w:p>
          <w:p w14:paraId="441D546F" w14:textId="77777777" w:rsidR="00537D89" w:rsidRDefault="00537D89">
            <w:pPr>
              <w:rPr>
                <w:rFonts w:ascii="Arial" w:hAnsi="Arial" w:cs="Arial"/>
                <w:sz w:val="24"/>
                <w:szCs w:val="24"/>
              </w:rPr>
            </w:pPr>
          </w:p>
        </w:tc>
        <w:tc>
          <w:tcPr>
            <w:tcW w:w="2377" w:type="dxa"/>
          </w:tcPr>
          <w:p w14:paraId="343D0AE1" w14:textId="77777777" w:rsidR="00537D89" w:rsidRDefault="00537D89">
            <w:pPr>
              <w:rPr>
                <w:rFonts w:ascii="Arial" w:hAnsi="Arial" w:cs="Arial"/>
                <w:sz w:val="24"/>
                <w:szCs w:val="24"/>
              </w:rPr>
            </w:pPr>
          </w:p>
          <w:p w14:paraId="6D83D636" w14:textId="77777777" w:rsidR="00537D89" w:rsidRDefault="00537D89">
            <w:pPr>
              <w:rPr>
                <w:rFonts w:ascii="Arial" w:hAnsi="Arial" w:cs="Arial"/>
                <w:sz w:val="24"/>
                <w:szCs w:val="24"/>
              </w:rPr>
            </w:pPr>
            <w:r>
              <w:rPr>
                <w:rFonts w:ascii="Arial" w:hAnsi="Arial" w:cs="Arial"/>
                <w:sz w:val="24"/>
                <w:szCs w:val="24"/>
              </w:rPr>
              <w:t>2 free sessions delivered to 10 workers</w:t>
            </w:r>
          </w:p>
        </w:tc>
        <w:tc>
          <w:tcPr>
            <w:tcW w:w="3634" w:type="dxa"/>
          </w:tcPr>
          <w:p w14:paraId="639D9877" w14:textId="77777777" w:rsidR="0071060F" w:rsidRDefault="0071060F">
            <w:pPr>
              <w:rPr>
                <w:rFonts w:ascii="Arial" w:hAnsi="Arial" w:cs="Arial"/>
                <w:sz w:val="24"/>
                <w:szCs w:val="24"/>
              </w:rPr>
            </w:pPr>
          </w:p>
          <w:p w14:paraId="75BDD96A" w14:textId="5F349CF1" w:rsidR="00537D89" w:rsidRDefault="0071060F" w:rsidP="0071060F">
            <w:pPr>
              <w:rPr>
                <w:rFonts w:ascii="Arial" w:hAnsi="Arial" w:cs="Arial"/>
                <w:sz w:val="24"/>
                <w:szCs w:val="24"/>
              </w:rPr>
            </w:pPr>
            <w:r>
              <w:rPr>
                <w:rFonts w:ascii="Arial" w:hAnsi="Arial" w:cs="Arial"/>
                <w:b/>
                <w:sz w:val="24"/>
                <w:szCs w:val="24"/>
              </w:rPr>
              <w:t xml:space="preserve">30 </w:t>
            </w:r>
            <w:r w:rsidRPr="005E49D1">
              <w:rPr>
                <w:rFonts w:ascii="Arial" w:hAnsi="Arial" w:cs="Arial"/>
                <w:sz w:val="24"/>
                <w:szCs w:val="24"/>
              </w:rPr>
              <w:t>attendees</w:t>
            </w:r>
            <w:r>
              <w:rPr>
                <w:rFonts w:ascii="Arial" w:hAnsi="Arial" w:cs="Arial"/>
                <w:sz w:val="24"/>
                <w:szCs w:val="24"/>
              </w:rPr>
              <w:t xml:space="preserve"> - </w:t>
            </w:r>
            <w:r w:rsidR="00440C37" w:rsidRPr="0071060F">
              <w:rPr>
                <w:rFonts w:ascii="Arial" w:hAnsi="Arial" w:cs="Arial"/>
                <w:sz w:val="24"/>
                <w:szCs w:val="24"/>
              </w:rPr>
              <w:t>2</w:t>
            </w:r>
            <w:r w:rsidR="00440C37">
              <w:rPr>
                <w:rFonts w:ascii="Arial" w:hAnsi="Arial" w:cs="Arial"/>
                <w:sz w:val="24"/>
                <w:szCs w:val="24"/>
              </w:rPr>
              <w:t xml:space="preserve"> sessions delivered</w:t>
            </w:r>
            <w:r w:rsidR="000D7C51">
              <w:rPr>
                <w:rFonts w:ascii="Arial" w:hAnsi="Arial" w:cs="Arial"/>
                <w:sz w:val="24"/>
                <w:szCs w:val="24"/>
              </w:rPr>
              <w:t>.</w:t>
            </w:r>
          </w:p>
        </w:tc>
      </w:tr>
      <w:tr w:rsidR="00537D89" w14:paraId="4268F0DE" w14:textId="77777777" w:rsidTr="004B08FB">
        <w:tc>
          <w:tcPr>
            <w:tcW w:w="3005" w:type="dxa"/>
          </w:tcPr>
          <w:p w14:paraId="3DA23374" w14:textId="77777777" w:rsidR="00537D89" w:rsidRDefault="00537D89">
            <w:pPr>
              <w:rPr>
                <w:rFonts w:ascii="Arial" w:hAnsi="Arial" w:cs="Arial"/>
                <w:sz w:val="24"/>
                <w:szCs w:val="24"/>
              </w:rPr>
            </w:pPr>
          </w:p>
          <w:p w14:paraId="129CCC33" w14:textId="77777777" w:rsidR="00537D89" w:rsidRDefault="00537D89">
            <w:pPr>
              <w:rPr>
                <w:rFonts w:ascii="Arial" w:hAnsi="Arial" w:cs="Arial"/>
                <w:sz w:val="24"/>
                <w:szCs w:val="24"/>
              </w:rPr>
            </w:pPr>
            <w:r>
              <w:rPr>
                <w:rFonts w:ascii="Arial" w:hAnsi="Arial" w:cs="Arial"/>
                <w:sz w:val="24"/>
                <w:szCs w:val="24"/>
              </w:rPr>
              <w:t xml:space="preserve">New organisations accessing the appeals project. </w:t>
            </w:r>
          </w:p>
          <w:p w14:paraId="245278F3" w14:textId="77777777" w:rsidR="00537D89" w:rsidRDefault="00537D89">
            <w:pPr>
              <w:rPr>
                <w:rFonts w:ascii="Arial" w:hAnsi="Arial" w:cs="Arial"/>
                <w:sz w:val="24"/>
                <w:szCs w:val="24"/>
              </w:rPr>
            </w:pPr>
          </w:p>
        </w:tc>
        <w:tc>
          <w:tcPr>
            <w:tcW w:w="2377" w:type="dxa"/>
          </w:tcPr>
          <w:p w14:paraId="0AF6D381" w14:textId="77777777" w:rsidR="00537D89" w:rsidRDefault="00537D89">
            <w:pPr>
              <w:rPr>
                <w:rFonts w:ascii="Arial" w:hAnsi="Arial" w:cs="Arial"/>
                <w:sz w:val="24"/>
                <w:szCs w:val="24"/>
              </w:rPr>
            </w:pPr>
          </w:p>
          <w:p w14:paraId="3A1CAB72" w14:textId="77777777" w:rsidR="00537D89" w:rsidRDefault="00537D89">
            <w:pPr>
              <w:rPr>
                <w:rFonts w:ascii="Arial" w:hAnsi="Arial" w:cs="Arial"/>
                <w:sz w:val="24"/>
                <w:szCs w:val="24"/>
              </w:rPr>
            </w:pPr>
            <w:r>
              <w:rPr>
                <w:rFonts w:ascii="Arial" w:hAnsi="Arial" w:cs="Arial"/>
                <w:sz w:val="24"/>
                <w:szCs w:val="24"/>
              </w:rPr>
              <w:t>10 organisations (more than one worker likely in each organisation)</w:t>
            </w:r>
          </w:p>
        </w:tc>
        <w:tc>
          <w:tcPr>
            <w:tcW w:w="3634" w:type="dxa"/>
          </w:tcPr>
          <w:p w14:paraId="29BE567D" w14:textId="77777777" w:rsidR="00537D89" w:rsidRDefault="00537D89">
            <w:pPr>
              <w:rPr>
                <w:rFonts w:ascii="Arial" w:hAnsi="Arial" w:cs="Arial"/>
                <w:sz w:val="24"/>
                <w:szCs w:val="24"/>
              </w:rPr>
            </w:pPr>
          </w:p>
          <w:p w14:paraId="2ADFAF64" w14:textId="77777777" w:rsidR="00B34A25" w:rsidRDefault="00B34A25">
            <w:pPr>
              <w:rPr>
                <w:rFonts w:ascii="Arial" w:hAnsi="Arial" w:cs="Arial"/>
                <w:b/>
                <w:sz w:val="24"/>
                <w:szCs w:val="24"/>
              </w:rPr>
            </w:pPr>
          </w:p>
          <w:p w14:paraId="78E9F500" w14:textId="1E28F2B3" w:rsidR="00B34A25" w:rsidRPr="005E49D1" w:rsidRDefault="00B34A25">
            <w:pPr>
              <w:rPr>
                <w:rFonts w:ascii="Arial" w:hAnsi="Arial" w:cs="Arial"/>
                <w:b/>
                <w:sz w:val="24"/>
                <w:szCs w:val="24"/>
              </w:rPr>
            </w:pPr>
            <w:r>
              <w:rPr>
                <w:rFonts w:ascii="Arial" w:hAnsi="Arial" w:cs="Arial"/>
                <w:b/>
                <w:sz w:val="24"/>
                <w:szCs w:val="24"/>
              </w:rPr>
              <w:t>11</w:t>
            </w:r>
          </w:p>
        </w:tc>
      </w:tr>
      <w:tr w:rsidR="00537D89" w14:paraId="02A49161" w14:textId="77777777" w:rsidTr="004B08FB">
        <w:tc>
          <w:tcPr>
            <w:tcW w:w="3005" w:type="dxa"/>
          </w:tcPr>
          <w:p w14:paraId="4EED55D4" w14:textId="77777777" w:rsidR="00537D89" w:rsidRDefault="00537D89">
            <w:pPr>
              <w:rPr>
                <w:rFonts w:ascii="Arial" w:hAnsi="Arial" w:cs="Arial"/>
                <w:sz w:val="24"/>
                <w:szCs w:val="24"/>
              </w:rPr>
            </w:pPr>
          </w:p>
          <w:p w14:paraId="0202966A" w14:textId="77777777" w:rsidR="00537D89" w:rsidRDefault="00537D89">
            <w:pPr>
              <w:rPr>
                <w:rFonts w:ascii="Arial" w:hAnsi="Arial" w:cs="Arial"/>
                <w:sz w:val="24"/>
                <w:szCs w:val="24"/>
              </w:rPr>
            </w:pPr>
            <w:r>
              <w:rPr>
                <w:rFonts w:ascii="Arial" w:hAnsi="Arial" w:cs="Arial"/>
                <w:sz w:val="24"/>
                <w:szCs w:val="24"/>
              </w:rPr>
              <w:t>Appeal Pack</w:t>
            </w:r>
          </w:p>
          <w:p w14:paraId="3850FF4E" w14:textId="77777777" w:rsidR="00537D89" w:rsidRDefault="00537D89">
            <w:pPr>
              <w:rPr>
                <w:rFonts w:ascii="Arial" w:hAnsi="Arial" w:cs="Arial"/>
                <w:sz w:val="24"/>
                <w:szCs w:val="24"/>
              </w:rPr>
            </w:pPr>
          </w:p>
        </w:tc>
        <w:tc>
          <w:tcPr>
            <w:tcW w:w="2377" w:type="dxa"/>
          </w:tcPr>
          <w:p w14:paraId="165F1FEB" w14:textId="77777777" w:rsidR="00537D89" w:rsidRDefault="00537D89">
            <w:pPr>
              <w:rPr>
                <w:rFonts w:ascii="Arial" w:hAnsi="Arial" w:cs="Arial"/>
                <w:sz w:val="24"/>
                <w:szCs w:val="24"/>
              </w:rPr>
            </w:pPr>
          </w:p>
          <w:p w14:paraId="5A5836E9" w14:textId="77777777" w:rsidR="00537D89" w:rsidRDefault="00537D89">
            <w:pPr>
              <w:rPr>
                <w:rFonts w:ascii="Arial" w:hAnsi="Arial" w:cs="Arial"/>
                <w:sz w:val="24"/>
                <w:szCs w:val="24"/>
              </w:rPr>
            </w:pPr>
            <w:r>
              <w:rPr>
                <w:rFonts w:ascii="Arial" w:hAnsi="Arial" w:cs="Arial"/>
                <w:sz w:val="24"/>
                <w:szCs w:val="24"/>
              </w:rPr>
              <w:t>150 distributed</w:t>
            </w:r>
          </w:p>
        </w:tc>
        <w:tc>
          <w:tcPr>
            <w:tcW w:w="3634" w:type="dxa"/>
          </w:tcPr>
          <w:p w14:paraId="053F7FDC" w14:textId="77777777" w:rsidR="00537D89" w:rsidRDefault="00537D89">
            <w:pPr>
              <w:rPr>
                <w:rFonts w:ascii="Arial" w:hAnsi="Arial" w:cs="Arial"/>
                <w:sz w:val="24"/>
                <w:szCs w:val="24"/>
              </w:rPr>
            </w:pPr>
          </w:p>
          <w:p w14:paraId="7018CE05" w14:textId="0075BEE5" w:rsidR="00440C37" w:rsidRPr="005E49D1" w:rsidRDefault="00440C37" w:rsidP="000D7C51">
            <w:pPr>
              <w:rPr>
                <w:rFonts w:ascii="Arial" w:hAnsi="Arial" w:cs="Arial"/>
                <w:b/>
                <w:sz w:val="24"/>
                <w:szCs w:val="24"/>
              </w:rPr>
            </w:pPr>
            <w:r w:rsidRPr="005E49D1">
              <w:rPr>
                <w:rFonts w:ascii="Arial" w:hAnsi="Arial" w:cs="Arial"/>
                <w:b/>
                <w:sz w:val="24"/>
                <w:szCs w:val="24"/>
              </w:rPr>
              <w:t xml:space="preserve">155 </w:t>
            </w:r>
          </w:p>
        </w:tc>
      </w:tr>
    </w:tbl>
    <w:p w14:paraId="7E69D794" w14:textId="77777777" w:rsidR="00537D89" w:rsidRPr="00537D89" w:rsidRDefault="00537D89">
      <w:pPr>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4470"/>
        <w:gridCol w:w="3261"/>
      </w:tblGrid>
      <w:tr w:rsidR="00537D89" w:rsidRPr="00427CB4" w14:paraId="0598B643" w14:textId="77777777" w:rsidTr="00537D89">
        <w:trPr>
          <w:cantSplit/>
          <w:trHeight w:val="760"/>
        </w:trPr>
        <w:tc>
          <w:tcPr>
            <w:tcW w:w="1195" w:type="dxa"/>
            <w:tcBorders>
              <w:bottom w:val="single" w:sz="4" w:space="0" w:color="auto"/>
            </w:tcBorders>
            <w:shd w:val="clear" w:color="auto" w:fill="D9D9D9" w:themeFill="background1" w:themeFillShade="D9"/>
          </w:tcPr>
          <w:p w14:paraId="7C822617" w14:textId="77777777" w:rsidR="00537D89" w:rsidRPr="00427CB4" w:rsidRDefault="00537D89" w:rsidP="001E730E">
            <w:pPr>
              <w:pStyle w:val="TableText"/>
              <w:rPr>
                <w:rFonts w:cs="Arial"/>
                <w:b/>
                <w:bCs/>
                <w:sz w:val="16"/>
              </w:rPr>
            </w:pPr>
            <w:r w:rsidRPr="00427CB4">
              <w:rPr>
                <w:rFonts w:cs="Arial"/>
                <w:b/>
                <w:bCs/>
                <w:sz w:val="16"/>
              </w:rPr>
              <w:lastRenderedPageBreak/>
              <w:t>N</w:t>
            </w:r>
            <w:r>
              <w:rPr>
                <w:rFonts w:cs="Arial"/>
                <w:b/>
                <w:bCs/>
                <w:sz w:val="16"/>
              </w:rPr>
              <w:t>o</w:t>
            </w:r>
            <w:r w:rsidRPr="00427CB4">
              <w:rPr>
                <w:rFonts w:cs="Arial"/>
                <w:b/>
                <w:bCs/>
                <w:sz w:val="16"/>
              </w:rPr>
              <w:t xml:space="preserve"> </w:t>
            </w:r>
            <w:r>
              <w:rPr>
                <w:rFonts w:cs="Arial"/>
                <w:b/>
                <w:bCs/>
                <w:sz w:val="16"/>
              </w:rPr>
              <w:t>of</w:t>
            </w:r>
            <w:r w:rsidRPr="00427CB4">
              <w:rPr>
                <w:rFonts w:cs="Arial"/>
                <w:b/>
                <w:bCs/>
                <w:sz w:val="16"/>
              </w:rPr>
              <w:t xml:space="preserve"> </w:t>
            </w:r>
            <w:r>
              <w:rPr>
                <w:rFonts w:cs="Arial"/>
                <w:b/>
                <w:bCs/>
                <w:sz w:val="16"/>
              </w:rPr>
              <w:t>beneficiaries</w:t>
            </w:r>
          </w:p>
        </w:tc>
        <w:tc>
          <w:tcPr>
            <w:tcW w:w="4470" w:type="dxa"/>
            <w:tcBorders>
              <w:left w:val="single" w:sz="4" w:space="0" w:color="auto"/>
              <w:bottom w:val="single" w:sz="4" w:space="0" w:color="auto"/>
            </w:tcBorders>
            <w:shd w:val="clear" w:color="auto" w:fill="D9D9D9" w:themeFill="background1" w:themeFillShade="D9"/>
          </w:tcPr>
          <w:p w14:paraId="27FC4B46" w14:textId="77777777" w:rsidR="00537D89" w:rsidRPr="00427CB4" w:rsidRDefault="00537D89" w:rsidP="001E730E">
            <w:pPr>
              <w:pStyle w:val="TableText"/>
              <w:rPr>
                <w:rFonts w:cs="Arial"/>
                <w:b/>
                <w:bCs/>
                <w:sz w:val="16"/>
              </w:rPr>
            </w:pPr>
            <w:r>
              <w:rPr>
                <w:rFonts w:cs="Arial"/>
                <w:b/>
                <w:bCs/>
                <w:sz w:val="16"/>
              </w:rPr>
              <w:t>Detail</w:t>
            </w:r>
          </w:p>
        </w:tc>
        <w:tc>
          <w:tcPr>
            <w:tcW w:w="3261" w:type="dxa"/>
            <w:tcBorders>
              <w:left w:val="single" w:sz="4" w:space="0" w:color="auto"/>
              <w:bottom w:val="single" w:sz="4" w:space="0" w:color="auto"/>
            </w:tcBorders>
            <w:shd w:val="clear" w:color="auto" w:fill="D9D9D9" w:themeFill="background1" w:themeFillShade="D9"/>
          </w:tcPr>
          <w:p w14:paraId="14E08D48" w14:textId="77777777" w:rsidR="00537D89" w:rsidRDefault="00537D89" w:rsidP="001E730E">
            <w:pPr>
              <w:pStyle w:val="TableText"/>
              <w:rPr>
                <w:rFonts w:cs="Arial"/>
                <w:b/>
                <w:bCs/>
                <w:sz w:val="16"/>
              </w:rPr>
            </w:pPr>
            <w:r>
              <w:rPr>
                <w:rFonts w:cs="Arial"/>
                <w:b/>
                <w:bCs/>
                <w:sz w:val="16"/>
              </w:rPr>
              <w:t>Project performance</w:t>
            </w:r>
          </w:p>
        </w:tc>
      </w:tr>
      <w:tr w:rsidR="00537D89" w14:paraId="5798621C" w14:textId="77777777" w:rsidTr="00537D89">
        <w:trPr>
          <w:cantSplit/>
          <w:trHeight w:val="740"/>
        </w:trPr>
        <w:tc>
          <w:tcPr>
            <w:tcW w:w="1195" w:type="dxa"/>
            <w:tcBorders>
              <w:top w:val="single" w:sz="4" w:space="0" w:color="auto"/>
              <w:bottom w:val="single" w:sz="4" w:space="0" w:color="auto"/>
            </w:tcBorders>
          </w:tcPr>
          <w:p w14:paraId="4E94D72B" w14:textId="77777777" w:rsidR="00537D89" w:rsidRPr="00537D89" w:rsidRDefault="00537D89" w:rsidP="001E730E">
            <w:pPr>
              <w:rPr>
                <w:rFonts w:ascii="Arial" w:hAnsi="Arial" w:cs="Arial"/>
                <w:b/>
                <w:sz w:val="24"/>
                <w:szCs w:val="24"/>
              </w:rPr>
            </w:pPr>
            <w:r w:rsidRPr="00537D89">
              <w:rPr>
                <w:rFonts w:ascii="Arial" w:hAnsi="Arial" w:cs="Arial"/>
                <w:b/>
                <w:sz w:val="24"/>
                <w:szCs w:val="24"/>
              </w:rPr>
              <w:t>110</w:t>
            </w:r>
          </w:p>
        </w:tc>
        <w:tc>
          <w:tcPr>
            <w:tcW w:w="4470" w:type="dxa"/>
            <w:tcBorders>
              <w:top w:val="single" w:sz="4" w:space="0" w:color="auto"/>
              <w:left w:val="single" w:sz="4" w:space="0" w:color="auto"/>
              <w:bottom w:val="single" w:sz="4" w:space="0" w:color="auto"/>
            </w:tcBorders>
          </w:tcPr>
          <w:p w14:paraId="3F0F7A9E" w14:textId="77777777" w:rsidR="00537D89" w:rsidRPr="009C1895" w:rsidRDefault="00537D89" w:rsidP="001E730E">
            <w:pPr>
              <w:rPr>
                <w:rFonts w:ascii="Arial" w:hAnsi="Arial" w:cs="Arial"/>
                <w:b/>
                <w:sz w:val="24"/>
                <w:szCs w:val="24"/>
              </w:rPr>
            </w:pPr>
            <w:r w:rsidRPr="009C1895">
              <w:rPr>
                <w:rFonts w:ascii="Arial" w:hAnsi="Arial" w:cs="Arial"/>
                <w:b/>
                <w:sz w:val="24"/>
                <w:szCs w:val="24"/>
              </w:rPr>
              <w:t xml:space="preserve">Total  </w:t>
            </w:r>
          </w:p>
        </w:tc>
        <w:tc>
          <w:tcPr>
            <w:tcW w:w="3261" w:type="dxa"/>
            <w:tcBorders>
              <w:top w:val="single" w:sz="4" w:space="0" w:color="auto"/>
              <w:left w:val="single" w:sz="4" w:space="0" w:color="auto"/>
              <w:bottom w:val="single" w:sz="4" w:space="0" w:color="auto"/>
            </w:tcBorders>
          </w:tcPr>
          <w:p w14:paraId="4FDFCBC0" w14:textId="593028EC" w:rsidR="00537D89" w:rsidRPr="009C1895" w:rsidRDefault="00034EC3" w:rsidP="00034EC3">
            <w:pPr>
              <w:pStyle w:val="Heading3"/>
              <w:rPr>
                <w:rFonts w:ascii="Arial" w:hAnsi="Arial" w:cs="Arial"/>
                <w:b/>
                <w:bCs/>
                <w:szCs w:val="24"/>
              </w:rPr>
            </w:pPr>
            <w:r w:rsidRPr="009C1895">
              <w:rPr>
                <w:rFonts w:ascii="Arial" w:hAnsi="Arial" w:cs="Arial"/>
                <w:b/>
                <w:bCs/>
                <w:szCs w:val="24"/>
              </w:rPr>
              <w:t>13</w:t>
            </w:r>
            <w:r>
              <w:rPr>
                <w:rFonts w:ascii="Arial" w:hAnsi="Arial" w:cs="Arial"/>
                <w:b/>
                <w:bCs/>
                <w:szCs w:val="24"/>
              </w:rPr>
              <w:t>2</w:t>
            </w:r>
          </w:p>
        </w:tc>
      </w:tr>
      <w:tr w:rsidR="00537D89" w14:paraId="17D13C54" w14:textId="77777777" w:rsidTr="00537D89">
        <w:trPr>
          <w:cantSplit/>
          <w:trHeight w:val="740"/>
        </w:trPr>
        <w:tc>
          <w:tcPr>
            <w:tcW w:w="1195" w:type="dxa"/>
            <w:tcBorders>
              <w:top w:val="single" w:sz="4" w:space="0" w:color="auto"/>
              <w:bottom w:val="single" w:sz="4" w:space="0" w:color="auto"/>
            </w:tcBorders>
          </w:tcPr>
          <w:p w14:paraId="0BF8B274" w14:textId="77777777" w:rsidR="00537D89" w:rsidRDefault="00537D89" w:rsidP="001E730E">
            <w:pPr>
              <w:rPr>
                <w:rFonts w:ascii="Arial" w:hAnsi="Arial" w:cs="Arial"/>
                <w:sz w:val="24"/>
                <w:szCs w:val="24"/>
              </w:rPr>
            </w:pPr>
          </w:p>
        </w:tc>
        <w:tc>
          <w:tcPr>
            <w:tcW w:w="4470" w:type="dxa"/>
            <w:tcBorders>
              <w:top w:val="single" w:sz="4" w:space="0" w:color="auto"/>
              <w:left w:val="single" w:sz="4" w:space="0" w:color="auto"/>
              <w:bottom w:val="single" w:sz="4" w:space="0" w:color="auto"/>
            </w:tcBorders>
          </w:tcPr>
          <w:p w14:paraId="5EE2BD4B" w14:textId="77777777" w:rsidR="00537D89" w:rsidRDefault="00537D89" w:rsidP="00537D89">
            <w:pPr>
              <w:pStyle w:val="Heading3"/>
              <w:rPr>
                <w:rFonts w:ascii="Arial" w:hAnsi="Arial" w:cs="Arial"/>
                <w:bCs/>
                <w:szCs w:val="24"/>
              </w:rPr>
            </w:pPr>
          </w:p>
          <w:p w14:paraId="3B84C614" w14:textId="77777777" w:rsidR="00537D89" w:rsidRPr="00AD4DC9" w:rsidRDefault="00537D89" w:rsidP="00537D89">
            <w:pPr>
              <w:pStyle w:val="Heading3"/>
              <w:rPr>
                <w:rFonts w:ascii="Arial" w:hAnsi="Arial" w:cs="Arial"/>
                <w:bCs/>
                <w:szCs w:val="24"/>
              </w:rPr>
            </w:pPr>
            <w:r>
              <w:rPr>
                <w:rFonts w:ascii="Arial" w:hAnsi="Arial" w:cs="Arial"/>
                <w:bCs/>
                <w:szCs w:val="24"/>
              </w:rPr>
              <w:t xml:space="preserve">80 </w:t>
            </w:r>
            <w:r w:rsidRPr="00AD4DC9">
              <w:rPr>
                <w:rFonts w:ascii="Arial" w:hAnsi="Arial" w:cs="Arial"/>
                <w:bCs/>
                <w:szCs w:val="24"/>
              </w:rPr>
              <w:t>instances of support</w:t>
            </w:r>
            <w:r>
              <w:rPr>
                <w:rFonts w:ascii="Arial" w:hAnsi="Arial" w:cs="Arial"/>
                <w:bCs/>
                <w:szCs w:val="24"/>
              </w:rPr>
              <w:t xml:space="preserve"> to workers/advisers enabling York residents and their family to access expert advice when challenging decisions, improving outcomes.</w:t>
            </w:r>
          </w:p>
          <w:p w14:paraId="6FAFD351" w14:textId="77777777" w:rsidR="00537D89" w:rsidRDefault="00537D89" w:rsidP="001E730E">
            <w:pPr>
              <w:pStyle w:val="Heading3"/>
              <w:rPr>
                <w:rFonts w:ascii="Arial" w:hAnsi="Arial" w:cs="Arial"/>
                <w:bCs/>
                <w:szCs w:val="24"/>
              </w:rPr>
            </w:pPr>
          </w:p>
        </w:tc>
        <w:tc>
          <w:tcPr>
            <w:tcW w:w="3261" w:type="dxa"/>
            <w:tcBorders>
              <w:top w:val="single" w:sz="4" w:space="0" w:color="auto"/>
              <w:left w:val="single" w:sz="4" w:space="0" w:color="auto"/>
              <w:bottom w:val="single" w:sz="4" w:space="0" w:color="auto"/>
            </w:tcBorders>
          </w:tcPr>
          <w:p w14:paraId="35DE3BB5" w14:textId="77777777" w:rsidR="00A4180F" w:rsidRDefault="00A4180F" w:rsidP="00707E0D">
            <w:pPr>
              <w:pStyle w:val="Heading3"/>
              <w:rPr>
                <w:rFonts w:ascii="Arial" w:hAnsi="Arial" w:cs="Arial"/>
                <w:bCs/>
                <w:szCs w:val="24"/>
              </w:rPr>
            </w:pPr>
          </w:p>
          <w:p w14:paraId="474AB366" w14:textId="33C9A0F2" w:rsidR="00537D89" w:rsidRDefault="00034EC3" w:rsidP="00707E0D">
            <w:pPr>
              <w:pStyle w:val="Heading3"/>
              <w:rPr>
                <w:rFonts w:ascii="Arial" w:hAnsi="Arial" w:cs="Arial"/>
                <w:bCs/>
                <w:szCs w:val="24"/>
              </w:rPr>
            </w:pPr>
            <w:r>
              <w:rPr>
                <w:rFonts w:ascii="Arial" w:hAnsi="Arial" w:cs="Arial"/>
                <w:bCs/>
                <w:szCs w:val="24"/>
              </w:rPr>
              <w:t xml:space="preserve">80 </w:t>
            </w:r>
            <w:r w:rsidR="00707E0D">
              <w:rPr>
                <w:rFonts w:ascii="Arial" w:hAnsi="Arial" w:cs="Arial"/>
                <w:bCs/>
                <w:szCs w:val="24"/>
              </w:rPr>
              <w:t>instances</w:t>
            </w:r>
          </w:p>
        </w:tc>
      </w:tr>
      <w:tr w:rsidR="00537D89" w14:paraId="2AF2FE30" w14:textId="77777777" w:rsidTr="00537D89">
        <w:trPr>
          <w:cantSplit/>
          <w:trHeight w:val="740"/>
        </w:trPr>
        <w:tc>
          <w:tcPr>
            <w:tcW w:w="1195" w:type="dxa"/>
            <w:tcBorders>
              <w:top w:val="single" w:sz="4" w:space="0" w:color="auto"/>
              <w:bottom w:val="single" w:sz="4" w:space="0" w:color="auto"/>
            </w:tcBorders>
          </w:tcPr>
          <w:p w14:paraId="5104280C" w14:textId="77777777" w:rsidR="00537D89" w:rsidRDefault="00537D89" w:rsidP="001E730E">
            <w:pPr>
              <w:rPr>
                <w:rFonts w:ascii="Arial" w:hAnsi="Arial" w:cs="Arial"/>
                <w:sz w:val="24"/>
                <w:szCs w:val="24"/>
              </w:rPr>
            </w:pPr>
          </w:p>
        </w:tc>
        <w:tc>
          <w:tcPr>
            <w:tcW w:w="4470" w:type="dxa"/>
            <w:tcBorders>
              <w:top w:val="single" w:sz="4" w:space="0" w:color="auto"/>
              <w:left w:val="single" w:sz="4" w:space="0" w:color="auto"/>
              <w:bottom w:val="single" w:sz="4" w:space="0" w:color="auto"/>
            </w:tcBorders>
          </w:tcPr>
          <w:p w14:paraId="278143C8" w14:textId="77777777" w:rsidR="00537D89" w:rsidRDefault="00537D89" w:rsidP="00537D89">
            <w:pPr>
              <w:rPr>
                <w:rFonts w:ascii="Arial" w:hAnsi="Arial" w:cs="Arial"/>
                <w:sz w:val="24"/>
                <w:szCs w:val="24"/>
              </w:rPr>
            </w:pPr>
          </w:p>
          <w:p w14:paraId="251206F5" w14:textId="77777777" w:rsidR="00537D89" w:rsidRPr="00AD4DC9" w:rsidRDefault="00537D89" w:rsidP="00537D89">
            <w:pPr>
              <w:rPr>
                <w:rFonts w:ascii="Arial" w:hAnsi="Arial" w:cs="Arial"/>
                <w:sz w:val="24"/>
                <w:szCs w:val="24"/>
              </w:rPr>
            </w:pPr>
            <w:r w:rsidRPr="00AD4DC9">
              <w:rPr>
                <w:rFonts w:ascii="Arial" w:hAnsi="Arial" w:cs="Arial"/>
                <w:sz w:val="24"/>
                <w:szCs w:val="24"/>
              </w:rPr>
              <w:t xml:space="preserve">10 </w:t>
            </w:r>
            <w:r>
              <w:rPr>
                <w:rFonts w:ascii="Arial" w:hAnsi="Arial" w:cs="Arial"/>
                <w:sz w:val="24"/>
                <w:szCs w:val="24"/>
              </w:rPr>
              <w:t>instances of directly representing York residents at appeal.</w:t>
            </w:r>
          </w:p>
          <w:p w14:paraId="3FA19A6E" w14:textId="77777777" w:rsidR="00537D89" w:rsidRDefault="00537D89" w:rsidP="001E730E">
            <w:pPr>
              <w:pStyle w:val="Heading3"/>
              <w:rPr>
                <w:rFonts w:ascii="Arial" w:hAnsi="Arial" w:cs="Arial"/>
                <w:bCs/>
                <w:szCs w:val="24"/>
              </w:rPr>
            </w:pPr>
          </w:p>
        </w:tc>
        <w:tc>
          <w:tcPr>
            <w:tcW w:w="3261" w:type="dxa"/>
            <w:tcBorders>
              <w:top w:val="single" w:sz="4" w:space="0" w:color="auto"/>
              <w:left w:val="single" w:sz="4" w:space="0" w:color="auto"/>
              <w:bottom w:val="single" w:sz="4" w:space="0" w:color="auto"/>
            </w:tcBorders>
          </w:tcPr>
          <w:p w14:paraId="35AE34FE" w14:textId="77777777" w:rsidR="00537D89" w:rsidRPr="00FF494A" w:rsidRDefault="00537D89" w:rsidP="001E730E">
            <w:pPr>
              <w:pStyle w:val="Heading3"/>
              <w:rPr>
                <w:rFonts w:ascii="Arial" w:hAnsi="Arial" w:cs="Arial"/>
                <w:bCs/>
                <w:szCs w:val="24"/>
              </w:rPr>
            </w:pPr>
          </w:p>
          <w:p w14:paraId="3E9E4E7C" w14:textId="6835854D" w:rsidR="00440C37" w:rsidRDefault="00A61449" w:rsidP="005E49D1">
            <w:pPr>
              <w:rPr>
                <w:rFonts w:ascii="Arial" w:hAnsi="Arial" w:cs="Arial"/>
                <w:szCs w:val="24"/>
              </w:rPr>
            </w:pPr>
            <w:r>
              <w:rPr>
                <w:rFonts w:ascii="Arial" w:hAnsi="Arial" w:cs="Arial"/>
                <w:szCs w:val="24"/>
              </w:rPr>
              <w:t>22 cases</w:t>
            </w:r>
          </w:p>
          <w:p w14:paraId="3B73E56E" w14:textId="77777777" w:rsidR="00A61449" w:rsidRDefault="00A61449" w:rsidP="005E49D1">
            <w:pPr>
              <w:rPr>
                <w:rFonts w:ascii="Arial" w:hAnsi="Arial" w:cs="Arial"/>
                <w:szCs w:val="24"/>
              </w:rPr>
            </w:pPr>
          </w:p>
          <w:p w14:paraId="55EB3598" w14:textId="77777777" w:rsidR="00A61449" w:rsidRDefault="00A61449" w:rsidP="005E49D1">
            <w:pPr>
              <w:rPr>
                <w:rFonts w:ascii="Arial" w:hAnsi="Arial" w:cs="Arial"/>
                <w:szCs w:val="24"/>
              </w:rPr>
            </w:pPr>
          </w:p>
          <w:p w14:paraId="18D127DD" w14:textId="4755B8C6" w:rsidR="00707E0D" w:rsidRPr="00C63FA4" w:rsidRDefault="00707E0D" w:rsidP="005E49D1">
            <w:pPr>
              <w:rPr>
                <w:rFonts w:ascii="Arial" w:hAnsi="Arial" w:cs="Arial"/>
                <w:szCs w:val="24"/>
              </w:rPr>
            </w:pPr>
          </w:p>
        </w:tc>
      </w:tr>
      <w:tr w:rsidR="00537D89" w14:paraId="0A88EBF2" w14:textId="77777777" w:rsidTr="00537D89">
        <w:trPr>
          <w:cantSplit/>
          <w:trHeight w:val="740"/>
        </w:trPr>
        <w:tc>
          <w:tcPr>
            <w:tcW w:w="1195" w:type="dxa"/>
            <w:tcBorders>
              <w:top w:val="single" w:sz="4" w:space="0" w:color="auto"/>
            </w:tcBorders>
          </w:tcPr>
          <w:p w14:paraId="470E340E" w14:textId="77777777" w:rsidR="00537D89" w:rsidRDefault="00537D89" w:rsidP="001E730E">
            <w:pPr>
              <w:rPr>
                <w:rFonts w:ascii="Arial" w:hAnsi="Arial" w:cs="Arial"/>
                <w:sz w:val="24"/>
                <w:szCs w:val="24"/>
              </w:rPr>
            </w:pPr>
          </w:p>
        </w:tc>
        <w:tc>
          <w:tcPr>
            <w:tcW w:w="4470" w:type="dxa"/>
            <w:tcBorders>
              <w:top w:val="single" w:sz="4" w:space="0" w:color="auto"/>
              <w:left w:val="single" w:sz="4" w:space="0" w:color="auto"/>
            </w:tcBorders>
          </w:tcPr>
          <w:p w14:paraId="06EFD4E8" w14:textId="77777777" w:rsidR="00537D89" w:rsidRDefault="00537D89" w:rsidP="001E730E">
            <w:pPr>
              <w:pStyle w:val="Heading3"/>
              <w:rPr>
                <w:rFonts w:ascii="Arial" w:hAnsi="Arial" w:cs="Arial"/>
                <w:szCs w:val="24"/>
              </w:rPr>
            </w:pPr>
          </w:p>
          <w:p w14:paraId="39C77743" w14:textId="77777777" w:rsidR="00537D89" w:rsidRDefault="00537D89" w:rsidP="001E730E">
            <w:pPr>
              <w:pStyle w:val="Heading3"/>
              <w:rPr>
                <w:rFonts w:ascii="Arial" w:hAnsi="Arial" w:cs="Arial"/>
                <w:szCs w:val="24"/>
              </w:rPr>
            </w:pPr>
            <w:r w:rsidRPr="00AD4DC9">
              <w:rPr>
                <w:rFonts w:ascii="Arial" w:hAnsi="Arial" w:cs="Arial"/>
                <w:szCs w:val="24"/>
              </w:rPr>
              <w:t xml:space="preserve">20 </w:t>
            </w:r>
            <w:r>
              <w:rPr>
                <w:rFonts w:ascii="Arial" w:hAnsi="Arial" w:cs="Arial"/>
                <w:szCs w:val="24"/>
              </w:rPr>
              <w:t>advisers/workers attending sessions, improving the support they can offer to a broad range of clients and client groups.</w:t>
            </w:r>
          </w:p>
          <w:p w14:paraId="34371AE9" w14:textId="77777777" w:rsidR="00537D89" w:rsidRPr="00537D89" w:rsidRDefault="00537D89" w:rsidP="00537D89">
            <w:pPr>
              <w:rPr>
                <w:lang w:val="en-US"/>
              </w:rPr>
            </w:pPr>
            <w:bookmarkStart w:id="0" w:name="_GoBack"/>
            <w:bookmarkEnd w:id="0"/>
          </w:p>
        </w:tc>
        <w:tc>
          <w:tcPr>
            <w:tcW w:w="3261" w:type="dxa"/>
            <w:tcBorders>
              <w:top w:val="single" w:sz="4" w:space="0" w:color="auto"/>
              <w:left w:val="single" w:sz="4" w:space="0" w:color="auto"/>
            </w:tcBorders>
          </w:tcPr>
          <w:p w14:paraId="411020C1" w14:textId="77777777" w:rsidR="00537D89" w:rsidRPr="00FF494A" w:rsidRDefault="00537D89" w:rsidP="001E730E">
            <w:pPr>
              <w:pStyle w:val="Heading3"/>
              <w:rPr>
                <w:rFonts w:ascii="Arial" w:hAnsi="Arial" w:cs="Arial"/>
                <w:bCs/>
                <w:szCs w:val="24"/>
              </w:rPr>
            </w:pPr>
          </w:p>
          <w:p w14:paraId="22C56A3A" w14:textId="679C5F1F" w:rsidR="00440C37" w:rsidRPr="00C63FA4" w:rsidRDefault="00440C37" w:rsidP="005E49D1">
            <w:pPr>
              <w:rPr>
                <w:rFonts w:ascii="Arial" w:hAnsi="Arial" w:cs="Arial"/>
                <w:szCs w:val="24"/>
              </w:rPr>
            </w:pPr>
            <w:r w:rsidRPr="005E49D1">
              <w:rPr>
                <w:rFonts w:ascii="Arial" w:hAnsi="Arial" w:cs="Arial"/>
                <w:sz w:val="24"/>
                <w:szCs w:val="24"/>
                <w:lang w:val="en-US"/>
              </w:rPr>
              <w:t>30</w:t>
            </w:r>
            <w:r w:rsidR="00AC0069" w:rsidRPr="005E49D1">
              <w:rPr>
                <w:rFonts w:ascii="Arial" w:hAnsi="Arial" w:cs="Arial"/>
                <w:sz w:val="24"/>
                <w:szCs w:val="24"/>
                <w:lang w:val="en-US"/>
              </w:rPr>
              <w:t xml:space="preserve"> attende</w:t>
            </w:r>
            <w:r w:rsidR="00FF494A" w:rsidRPr="00FF494A">
              <w:rPr>
                <w:rFonts w:ascii="Arial" w:hAnsi="Arial" w:cs="Arial"/>
                <w:sz w:val="24"/>
                <w:szCs w:val="24"/>
                <w:lang w:val="en-US"/>
              </w:rPr>
              <w:t>es</w:t>
            </w:r>
          </w:p>
        </w:tc>
      </w:tr>
    </w:tbl>
    <w:p w14:paraId="41D05138" w14:textId="77777777" w:rsidR="00CA70A3" w:rsidRDefault="00CA70A3">
      <w:pPr>
        <w:rPr>
          <w:rFonts w:ascii="Arial" w:hAnsi="Arial" w:cs="Arial"/>
          <w:sz w:val="28"/>
          <w:szCs w:val="24"/>
        </w:rPr>
      </w:pPr>
    </w:p>
    <w:p w14:paraId="6FC8B4EC" w14:textId="77777777" w:rsidR="00A15836" w:rsidRPr="009F2A50" w:rsidRDefault="00A15836">
      <w:pPr>
        <w:rPr>
          <w:rFonts w:ascii="Arial" w:hAnsi="Arial" w:cs="Arial"/>
          <w:b/>
          <w:sz w:val="28"/>
          <w:szCs w:val="24"/>
        </w:rPr>
      </w:pPr>
      <w:r w:rsidRPr="009F2A50">
        <w:rPr>
          <w:rFonts w:ascii="Arial" w:hAnsi="Arial" w:cs="Arial"/>
          <w:b/>
          <w:sz w:val="28"/>
          <w:szCs w:val="24"/>
        </w:rPr>
        <w:t>Second-tier support to challenge decisions</w:t>
      </w:r>
    </w:p>
    <w:p w14:paraId="23161C3E" w14:textId="559ED2F1" w:rsidR="00E10229" w:rsidRDefault="00AB5A7A">
      <w:pPr>
        <w:rPr>
          <w:rFonts w:ascii="Arial" w:hAnsi="Arial" w:cs="Arial"/>
          <w:sz w:val="24"/>
          <w:szCs w:val="24"/>
        </w:rPr>
      </w:pPr>
      <w:r>
        <w:rPr>
          <w:rFonts w:ascii="Arial" w:hAnsi="Arial" w:cs="Arial"/>
          <w:sz w:val="24"/>
          <w:szCs w:val="24"/>
        </w:rPr>
        <w:t>There were</w:t>
      </w:r>
      <w:r w:rsidR="00B34A25">
        <w:rPr>
          <w:rFonts w:ascii="Arial" w:hAnsi="Arial" w:cs="Arial"/>
          <w:sz w:val="24"/>
          <w:szCs w:val="24"/>
        </w:rPr>
        <w:t xml:space="preserve"> </w:t>
      </w:r>
      <w:r w:rsidR="007E2B87">
        <w:rPr>
          <w:rFonts w:ascii="Arial" w:hAnsi="Arial" w:cs="Arial"/>
          <w:sz w:val="24"/>
          <w:szCs w:val="24"/>
        </w:rPr>
        <w:t>80</w:t>
      </w:r>
      <w:r w:rsidRPr="00707E0D">
        <w:rPr>
          <w:rFonts w:ascii="Arial" w:hAnsi="Arial" w:cs="Arial"/>
          <w:b/>
          <w:sz w:val="24"/>
          <w:szCs w:val="24"/>
        </w:rPr>
        <w:t xml:space="preserve"> </w:t>
      </w:r>
      <w:r w:rsidR="00440C37">
        <w:rPr>
          <w:rFonts w:ascii="Arial" w:hAnsi="Arial" w:cs="Arial"/>
          <w:sz w:val="24"/>
          <w:szCs w:val="24"/>
        </w:rPr>
        <w:t>instances</w:t>
      </w:r>
      <w:r>
        <w:rPr>
          <w:rFonts w:ascii="Arial" w:hAnsi="Arial" w:cs="Arial"/>
          <w:sz w:val="24"/>
          <w:szCs w:val="24"/>
        </w:rPr>
        <w:t xml:space="preserve"> of providing detailed advice</w:t>
      </w:r>
      <w:r w:rsidR="00440C37">
        <w:rPr>
          <w:rFonts w:ascii="Arial" w:hAnsi="Arial" w:cs="Arial"/>
          <w:sz w:val="24"/>
          <w:szCs w:val="24"/>
        </w:rPr>
        <w:t xml:space="preserve"> for </w:t>
      </w:r>
      <w:r>
        <w:rPr>
          <w:rFonts w:ascii="Arial" w:hAnsi="Arial" w:cs="Arial"/>
          <w:sz w:val="24"/>
          <w:szCs w:val="24"/>
        </w:rPr>
        <w:t>7</w:t>
      </w:r>
      <w:r w:rsidR="007E2B87">
        <w:rPr>
          <w:rFonts w:ascii="Arial" w:hAnsi="Arial" w:cs="Arial"/>
          <w:sz w:val="24"/>
          <w:szCs w:val="24"/>
        </w:rPr>
        <w:t>6</w:t>
      </w:r>
      <w:r>
        <w:rPr>
          <w:rFonts w:ascii="Arial" w:hAnsi="Arial" w:cs="Arial"/>
          <w:sz w:val="24"/>
          <w:szCs w:val="24"/>
        </w:rPr>
        <w:t xml:space="preserve"> </w:t>
      </w:r>
      <w:r w:rsidR="00440C37">
        <w:rPr>
          <w:rFonts w:ascii="Arial" w:hAnsi="Arial" w:cs="Arial"/>
          <w:sz w:val="24"/>
          <w:szCs w:val="24"/>
        </w:rPr>
        <w:t>residents, mostly at appeal level but including some mandatory reconsiderations</w:t>
      </w:r>
      <w:r w:rsidR="001A7364">
        <w:rPr>
          <w:rFonts w:ascii="Arial" w:hAnsi="Arial" w:cs="Arial"/>
          <w:sz w:val="24"/>
          <w:szCs w:val="24"/>
        </w:rPr>
        <w:t>.</w:t>
      </w:r>
      <w:r>
        <w:rPr>
          <w:rFonts w:ascii="Arial" w:hAnsi="Arial" w:cs="Arial"/>
          <w:sz w:val="24"/>
          <w:szCs w:val="24"/>
        </w:rPr>
        <w:t xml:space="preserve"> </w:t>
      </w:r>
      <w:r w:rsidR="00A4180F">
        <w:rPr>
          <w:rFonts w:ascii="Arial" w:hAnsi="Arial" w:cs="Arial"/>
          <w:sz w:val="24"/>
          <w:szCs w:val="24"/>
        </w:rPr>
        <w:t>Most</w:t>
      </w:r>
      <w:r>
        <w:rPr>
          <w:rFonts w:ascii="Arial" w:hAnsi="Arial" w:cs="Arial"/>
          <w:sz w:val="24"/>
          <w:szCs w:val="24"/>
        </w:rPr>
        <w:t xml:space="preserve"> of these instances led to ongoing case-work, including support with </w:t>
      </w:r>
      <w:r w:rsidR="00A4180F">
        <w:rPr>
          <w:rFonts w:ascii="Arial" w:hAnsi="Arial" w:cs="Arial"/>
          <w:sz w:val="24"/>
          <w:szCs w:val="24"/>
        </w:rPr>
        <w:t xml:space="preserve">mandatory reconsideration requests and </w:t>
      </w:r>
      <w:r>
        <w:rPr>
          <w:rFonts w:ascii="Arial" w:hAnsi="Arial" w:cs="Arial"/>
          <w:sz w:val="24"/>
          <w:szCs w:val="24"/>
        </w:rPr>
        <w:t>appeal submissions and representation.</w:t>
      </w:r>
      <w:r w:rsidR="00567E7F">
        <w:rPr>
          <w:rFonts w:ascii="Arial" w:hAnsi="Arial" w:cs="Arial"/>
          <w:sz w:val="24"/>
          <w:szCs w:val="24"/>
        </w:rPr>
        <w:t xml:space="preserve"> The majority of the remaining cases were taken forward by the adviser without further support</w:t>
      </w:r>
      <w:r w:rsidR="00965DE5">
        <w:rPr>
          <w:rFonts w:ascii="Arial" w:hAnsi="Arial" w:cs="Arial"/>
          <w:sz w:val="24"/>
          <w:szCs w:val="24"/>
        </w:rPr>
        <w:t>.</w:t>
      </w:r>
      <w:r w:rsidR="00675063">
        <w:rPr>
          <w:rFonts w:ascii="Arial" w:hAnsi="Arial" w:cs="Arial"/>
          <w:sz w:val="24"/>
          <w:szCs w:val="24"/>
        </w:rPr>
        <w:t xml:space="preserve"> T</w:t>
      </w:r>
      <w:r w:rsidR="00A4180F">
        <w:rPr>
          <w:rFonts w:ascii="Arial" w:hAnsi="Arial" w:cs="Arial"/>
          <w:sz w:val="24"/>
          <w:szCs w:val="24"/>
        </w:rPr>
        <w:t>he outcome of many of these is unknown</w:t>
      </w:r>
      <w:r w:rsidR="00675063">
        <w:rPr>
          <w:rFonts w:ascii="Arial" w:hAnsi="Arial" w:cs="Arial"/>
          <w:sz w:val="24"/>
          <w:szCs w:val="24"/>
        </w:rPr>
        <w:t xml:space="preserve"> </w:t>
      </w:r>
      <w:r w:rsidR="00C72D3D">
        <w:rPr>
          <w:rFonts w:ascii="Arial" w:hAnsi="Arial" w:cs="Arial"/>
          <w:sz w:val="24"/>
          <w:szCs w:val="24"/>
        </w:rPr>
        <w:t>because</w:t>
      </w:r>
      <w:r w:rsidR="00A4180F">
        <w:rPr>
          <w:rFonts w:ascii="Arial" w:hAnsi="Arial" w:cs="Arial"/>
          <w:sz w:val="24"/>
          <w:szCs w:val="24"/>
        </w:rPr>
        <w:t xml:space="preserve"> the client did not update the front-line worker about the outcome. </w:t>
      </w:r>
      <w:r w:rsidR="00E10229">
        <w:rPr>
          <w:rFonts w:ascii="Arial" w:hAnsi="Arial" w:cs="Arial"/>
          <w:sz w:val="24"/>
          <w:szCs w:val="24"/>
        </w:rPr>
        <w:t xml:space="preserve">In </w:t>
      </w:r>
      <w:r w:rsidR="00965DE5">
        <w:rPr>
          <w:rFonts w:ascii="Arial" w:hAnsi="Arial" w:cs="Arial"/>
          <w:sz w:val="24"/>
          <w:szCs w:val="24"/>
        </w:rPr>
        <w:t>3</w:t>
      </w:r>
      <w:r w:rsidR="00E10229">
        <w:rPr>
          <w:rFonts w:ascii="Arial" w:hAnsi="Arial" w:cs="Arial"/>
          <w:sz w:val="24"/>
          <w:szCs w:val="24"/>
        </w:rPr>
        <w:t xml:space="preserve"> cases the client moved away from the area and contact was lost. In 1 case the referring agencies involvement ended on their client being detained in hospital due to severe mental illness before authorisation </w:t>
      </w:r>
      <w:r w:rsidR="00675063">
        <w:rPr>
          <w:rFonts w:ascii="Arial" w:hAnsi="Arial" w:cs="Arial"/>
          <w:sz w:val="24"/>
          <w:szCs w:val="24"/>
        </w:rPr>
        <w:t xml:space="preserve">from the client </w:t>
      </w:r>
      <w:r w:rsidR="00E10229">
        <w:rPr>
          <w:rFonts w:ascii="Arial" w:hAnsi="Arial" w:cs="Arial"/>
          <w:sz w:val="24"/>
          <w:szCs w:val="24"/>
        </w:rPr>
        <w:t>could be obtained</w:t>
      </w:r>
      <w:r w:rsidR="00675063">
        <w:rPr>
          <w:rFonts w:ascii="Arial" w:hAnsi="Arial" w:cs="Arial"/>
          <w:sz w:val="24"/>
          <w:szCs w:val="24"/>
        </w:rPr>
        <w:t xml:space="preserve"> and they currently lack capacity to act</w:t>
      </w:r>
      <w:r w:rsidR="00E10229">
        <w:rPr>
          <w:rFonts w:ascii="Arial" w:hAnsi="Arial" w:cs="Arial"/>
          <w:sz w:val="24"/>
          <w:szCs w:val="24"/>
        </w:rPr>
        <w:t xml:space="preserve">. The offer of support remains open with on-going communications with </w:t>
      </w:r>
      <w:r w:rsidR="00034EC3">
        <w:rPr>
          <w:rFonts w:ascii="Arial" w:hAnsi="Arial" w:cs="Arial"/>
          <w:sz w:val="24"/>
          <w:szCs w:val="24"/>
        </w:rPr>
        <w:t xml:space="preserve">the </w:t>
      </w:r>
      <w:r w:rsidR="00E10229">
        <w:rPr>
          <w:rFonts w:ascii="Arial" w:hAnsi="Arial" w:cs="Arial"/>
          <w:sz w:val="24"/>
          <w:szCs w:val="24"/>
        </w:rPr>
        <w:t xml:space="preserve">health worker and HM Courts and Tribunals Service in the hope that </w:t>
      </w:r>
      <w:r w:rsidR="00675063">
        <w:rPr>
          <w:rFonts w:ascii="Arial" w:hAnsi="Arial" w:cs="Arial"/>
          <w:sz w:val="24"/>
          <w:szCs w:val="24"/>
        </w:rPr>
        <w:t xml:space="preserve">suitable support may be put in place and </w:t>
      </w:r>
      <w:r w:rsidR="00E10229">
        <w:rPr>
          <w:rFonts w:ascii="Arial" w:hAnsi="Arial" w:cs="Arial"/>
          <w:sz w:val="24"/>
          <w:szCs w:val="24"/>
        </w:rPr>
        <w:t>authorisation obtained.</w:t>
      </w:r>
    </w:p>
    <w:p w14:paraId="287F16A8" w14:textId="77777777" w:rsidR="002A53E5" w:rsidRDefault="00C72D3D">
      <w:pPr>
        <w:rPr>
          <w:rFonts w:ascii="Arial" w:hAnsi="Arial" w:cs="Arial"/>
          <w:sz w:val="24"/>
          <w:szCs w:val="24"/>
        </w:rPr>
      </w:pPr>
      <w:r>
        <w:rPr>
          <w:rFonts w:ascii="Arial" w:hAnsi="Arial" w:cs="Arial"/>
          <w:sz w:val="24"/>
          <w:szCs w:val="24"/>
        </w:rPr>
        <w:t>In 3 cases, where the outcome is known, the challenge to the benefit decision was successful prior to appeal</w:t>
      </w:r>
      <w:r w:rsidR="00965DE5">
        <w:rPr>
          <w:rFonts w:ascii="Arial" w:hAnsi="Arial" w:cs="Arial"/>
          <w:sz w:val="24"/>
          <w:szCs w:val="24"/>
        </w:rPr>
        <w:t xml:space="preserve"> hearing</w:t>
      </w:r>
      <w:r>
        <w:rPr>
          <w:rFonts w:ascii="Arial" w:hAnsi="Arial" w:cs="Arial"/>
          <w:sz w:val="24"/>
          <w:szCs w:val="24"/>
        </w:rPr>
        <w:t>.</w:t>
      </w:r>
    </w:p>
    <w:p w14:paraId="347B5A5D" w14:textId="77777777" w:rsidR="00DF6193" w:rsidRDefault="00DF6193">
      <w:pPr>
        <w:rPr>
          <w:rFonts w:ascii="Arial" w:hAnsi="Arial" w:cs="Arial"/>
          <w:sz w:val="24"/>
          <w:szCs w:val="24"/>
        </w:rPr>
      </w:pPr>
      <w:r>
        <w:rPr>
          <w:rFonts w:ascii="Arial" w:hAnsi="Arial" w:cs="Arial"/>
          <w:sz w:val="24"/>
          <w:szCs w:val="24"/>
        </w:rPr>
        <w:br w:type="page"/>
      </w:r>
    </w:p>
    <w:p w14:paraId="63976D8F" w14:textId="20AD53FA" w:rsidR="001A7364" w:rsidRDefault="001A7364">
      <w:pPr>
        <w:rPr>
          <w:rFonts w:ascii="Arial" w:hAnsi="Arial" w:cs="Arial"/>
          <w:sz w:val="24"/>
          <w:szCs w:val="24"/>
        </w:rPr>
      </w:pPr>
      <w:r>
        <w:rPr>
          <w:rFonts w:ascii="Arial" w:hAnsi="Arial" w:cs="Arial"/>
          <w:sz w:val="24"/>
          <w:szCs w:val="24"/>
        </w:rPr>
        <w:lastRenderedPageBreak/>
        <w:t>The majority of cases relate to appeal</w:t>
      </w:r>
      <w:r w:rsidR="00707E0D">
        <w:rPr>
          <w:rFonts w:ascii="Arial" w:hAnsi="Arial" w:cs="Arial"/>
          <w:sz w:val="24"/>
          <w:szCs w:val="24"/>
        </w:rPr>
        <w:t>s</w:t>
      </w:r>
      <w:r>
        <w:rPr>
          <w:rFonts w:ascii="Arial" w:hAnsi="Arial" w:cs="Arial"/>
          <w:sz w:val="24"/>
          <w:szCs w:val="24"/>
        </w:rPr>
        <w:t xml:space="preserve"> against </w:t>
      </w:r>
      <w:r w:rsidR="00707E0D">
        <w:rPr>
          <w:rFonts w:ascii="Arial" w:hAnsi="Arial" w:cs="Arial"/>
          <w:sz w:val="24"/>
          <w:szCs w:val="24"/>
        </w:rPr>
        <w:t>P</w:t>
      </w:r>
      <w:r>
        <w:rPr>
          <w:rFonts w:ascii="Arial" w:hAnsi="Arial" w:cs="Arial"/>
          <w:sz w:val="24"/>
          <w:szCs w:val="24"/>
        </w:rPr>
        <w:t xml:space="preserve">ersonal </w:t>
      </w:r>
      <w:r w:rsidR="00707E0D">
        <w:rPr>
          <w:rFonts w:ascii="Arial" w:hAnsi="Arial" w:cs="Arial"/>
          <w:sz w:val="24"/>
          <w:szCs w:val="24"/>
        </w:rPr>
        <w:t>I</w:t>
      </w:r>
      <w:r>
        <w:rPr>
          <w:rFonts w:ascii="Arial" w:hAnsi="Arial" w:cs="Arial"/>
          <w:sz w:val="24"/>
          <w:szCs w:val="24"/>
        </w:rPr>
        <w:t xml:space="preserve">ndependence </w:t>
      </w:r>
      <w:r w:rsidR="00707E0D">
        <w:rPr>
          <w:rFonts w:ascii="Arial" w:hAnsi="Arial" w:cs="Arial"/>
          <w:sz w:val="24"/>
          <w:szCs w:val="24"/>
        </w:rPr>
        <w:t>P</w:t>
      </w:r>
      <w:r w:rsidR="00AC0069">
        <w:rPr>
          <w:rFonts w:ascii="Arial" w:hAnsi="Arial" w:cs="Arial"/>
          <w:sz w:val="24"/>
          <w:szCs w:val="24"/>
        </w:rPr>
        <w:t>ayment decisions,</w:t>
      </w:r>
      <w:r w:rsidR="00EA1FC9">
        <w:rPr>
          <w:rFonts w:ascii="Arial" w:hAnsi="Arial" w:cs="Arial"/>
          <w:sz w:val="24"/>
          <w:szCs w:val="24"/>
        </w:rPr>
        <w:t xml:space="preserve"> in line with the </w:t>
      </w:r>
      <w:r w:rsidR="00AB5A7A">
        <w:rPr>
          <w:rFonts w:ascii="Arial" w:hAnsi="Arial" w:cs="Arial"/>
          <w:sz w:val="24"/>
          <w:szCs w:val="24"/>
        </w:rPr>
        <w:t xml:space="preserve">government’s accelerated </w:t>
      </w:r>
      <w:r w:rsidR="00EA1FC9">
        <w:rPr>
          <w:rFonts w:ascii="Arial" w:hAnsi="Arial" w:cs="Arial"/>
          <w:sz w:val="24"/>
          <w:szCs w:val="24"/>
        </w:rPr>
        <w:t>roll-out transfe</w:t>
      </w:r>
      <w:r w:rsidR="00B34A25">
        <w:rPr>
          <w:rFonts w:ascii="Arial" w:hAnsi="Arial" w:cs="Arial"/>
          <w:sz w:val="24"/>
          <w:szCs w:val="24"/>
        </w:rPr>
        <w:t>r</w:t>
      </w:r>
      <w:r w:rsidR="00EA1FC9">
        <w:rPr>
          <w:rFonts w:ascii="Arial" w:hAnsi="Arial" w:cs="Arial"/>
          <w:sz w:val="24"/>
          <w:szCs w:val="24"/>
        </w:rPr>
        <w:t>r</w:t>
      </w:r>
      <w:r w:rsidR="00AB5A7A">
        <w:rPr>
          <w:rFonts w:ascii="Arial" w:hAnsi="Arial" w:cs="Arial"/>
          <w:sz w:val="24"/>
          <w:szCs w:val="24"/>
        </w:rPr>
        <w:t>ing</w:t>
      </w:r>
      <w:r w:rsidR="00EA1FC9">
        <w:rPr>
          <w:rFonts w:ascii="Arial" w:hAnsi="Arial" w:cs="Arial"/>
          <w:sz w:val="24"/>
          <w:szCs w:val="24"/>
        </w:rPr>
        <w:t xml:space="preserve"> adults from Disability Living Allowance and the resulting reduction in entitlement; </w:t>
      </w:r>
      <w:r w:rsidR="005B0CE0">
        <w:rPr>
          <w:rFonts w:ascii="Arial" w:hAnsi="Arial" w:cs="Arial"/>
          <w:sz w:val="24"/>
          <w:szCs w:val="24"/>
        </w:rPr>
        <w:t>occasionally</w:t>
      </w:r>
      <w:r w:rsidR="00EA1FC9">
        <w:rPr>
          <w:rFonts w:ascii="Arial" w:hAnsi="Arial" w:cs="Arial"/>
          <w:sz w:val="24"/>
          <w:szCs w:val="24"/>
        </w:rPr>
        <w:t xml:space="preserve"> the advice has </w:t>
      </w:r>
      <w:r w:rsidR="000E17D6">
        <w:rPr>
          <w:rFonts w:ascii="Arial" w:hAnsi="Arial" w:cs="Arial"/>
          <w:sz w:val="24"/>
          <w:szCs w:val="24"/>
        </w:rPr>
        <w:t xml:space="preserve">had </w:t>
      </w:r>
      <w:r w:rsidR="00EA1FC9">
        <w:rPr>
          <w:rFonts w:ascii="Arial" w:hAnsi="Arial" w:cs="Arial"/>
          <w:sz w:val="24"/>
          <w:szCs w:val="24"/>
        </w:rPr>
        <w:t>to be that the claimant no longer meets criteria. Other</w:t>
      </w:r>
      <w:r w:rsidR="00AC0069">
        <w:rPr>
          <w:rFonts w:ascii="Arial" w:hAnsi="Arial" w:cs="Arial"/>
          <w:sz w:val="24"/>
          <w:szCs w:val="24"/>
        </w:rPr>
        <w:t xml:space="preserve"> appeals relat</w:t>
      </w:r>
      <w:r w:rsidR="00EA1FC9">
        <w:rPr>
          <w:rFonts w:ascii="Arial" w:hAnsi="Arial" w:cs="Arial"/>
          <w:sz w:val="24"/>
          <w:szCs w:val="24"/>
        </w:rPr>
        <w:t>ed</w:t>
      </w:r>
      <w:r w:rsidR="00AC0069">
        <w:rPr>
          <w:rFonts w:ascii="Arial" w:hAnsi="Arial" w:cs="Arial"/>
          <w:sz w:val="24"/>
          <w:szCs w:val="24"/>
        </w:rPr>
        <w:t xml:space="preserve"> to the </w:t>
      </w:r>
      <w:r w:rsidR="00707E0D">
        <w:rPr>
          <w:rFonts w:ascii="Arial" w:hAnsi="Arial" w:cs="Arial"/>
          <w:sz w:val="24"/>
          <w:szCs w:val="24"/>
        </w:rPr>
        <w:t>E</w:t>
      </w:r>
      <w:r w:rsidR="00AC0069">
        <w:rPr>
          <w:rFonts w:ascii="Arial" w:hAnsi="Arial" w:cs="Arial"/>
          <w:sz w:val="24"/>
          <w:szCs w:val="24"/>
        </w:rPr>
        <w:t xml:space="preserve">mployment and </w:t>
      </w:r>
      <w:r w:rsidR="00707E0D">
        <w:rPr>
          <w:rFonts w:ascii="Arial" w:hAnsi="Arial" w:cs="Arial"/>
          <w:sz w:val="24"/>
          <w:szCs w:val="24"/>
        </w:rPr>
        <w:t>S</w:t>
      </w:r>
      <w:r w:rsidR="00AC0069">
        <w:rPr>
          <w:rFonts w:ascii="Arial" w:hAnsi="Arial" w:cs="Arial"/>
          <w:sz w:val="24"/>
          <w:szCs w:val="24"/>
        </w:rPr>
        <w:t xml:space="preserve">upport </w:t>
      </w:r>
      <w:r w:rsidR="00707E0D">
        <w:rPr>
          <w:rFonts w:ascii="Arial" w:hAnsi="Arial" w:cs="Arial"/>
          <w:sz w:val="24"/>
          <w:szCs w:val="24"/>
        </w:rPr>
        <w:t>A</w:t>
      </w:r>
      <w:r w:rsidR="00AC0069">
        <w:rPr>
          <w:rFonts w:ascii="Arial" w:hAnsi="Arial" w:cs="Arial"/>
          <w:sz w:val="24"/>
          <w:szCs w:val="24"/>
        </w:rPr>
        <w:t>llowance capability assessmen</w:t>
      </w:r>
      <w:r w:rsidR="00D7392C">
        <w:rPr>
          <w:rFonts w:ascii="Arial" w:hAnsi="Arial" w:cs="Arial"/>
          <w:sz w:val="24"/>
          <w:szCs w:val="24"/>
        </w:rPr>
        <w:t>t, overpayments and capital.</w:t>
      </w:r>
    </w:p>
    <w:p w14:paraId="18EB33A8" w14:textId="77777777" w:rsidR="00C72D3D" w:rsidRDefault="00C72D3D" w:rsidP="00C72D3D">
      <w:pPr>
        <w:rPr>
          <w:rFonts w:ascii="Arial" w:hAnsi="Arial" w:cs="Arial"/>
          <w:sz w:val="24"/>
          <w:szCs w:val="24"/>
        </w:rPr>
      </w:pPr>
      <w:r>
        <w:rPr>
          <w:rFonts w:ascii="Arial" w:hAnsi="Arial" w:cs="Arial"/>
          <w:sz w:val="24"/>
          <w:szCs w:val="24"/>
        </w:rPr>
        <w:t>Some cases did not progress further as the outcome was not likely to be successful, although disappointing for the claimant the advice given provided clarity and clear direction about the decision.</w:t>
      </w:r>
    </w:p>
    <w:p w14:paraId="43E78059" w14:textId="77777777" w:rsidR="00AC0069" w:rsidRPr="005E49D1" w:rsidRDefault="00AC0069">
      <w:pPr>
        <w:rPr>
          <w:rFonts w:ascii="Arial" w:hAnsi="Arial" w:cs="Arial"/>
          <w:sz w:val="24"/>
          <w:szCs w:val="24"/>
        </w:rPr>
      </w:pPr>
    </w:p>
    <w:p w14:paraId="2333B784" w14:textId="77777777" w:rsidR="00A15836" w:rsidRPr="005E49D1" w:rsidRDefault="00A15836">
      <w:pPr>
        <w:rPr>
          <w:rFonts w:ascii="Arial" w:hAnsi="Arial" w:cs="Arial"/>
          <w:b/>
          <w:sz w:val="28"/>
          <w:szCs w:val="24"/>
        </w:rPr>
      </w:pPr>
      <w:r w:rsidRPr="005E49D1">
        <w:rPr>
          <w:rFonts w:ascii="Arial" w:hAnsi="Arial" w:cs="Arial"/>
          <w:b/>
          <w:sz w:val="28"/>
          <w:szCs w:val="24"/>
        </w:rPr>
        <w:t>Representation and submissions</w:t>
      </w:r>
    </w:p>
    <w:p w14:paraId="12140CFC" w14:textId="77777777" w:rsidR="00E52870" w:rsidRPr="005E49D1" w:rsidRDefault="00E52870">
      <w:pPr>
        <w:rPr>
          <w:rFonts w:ascii="Arial" w:hAnsi="Arial" w:cs="Arial"/>
          <w:b/>
          <w:sz w:val="24"/>
          <w:szCs w:val="24"/>
        </w:rPr>
      </w:pPr>
      <w:r w:rsidRPr="005E49D1">
        <w:rPr>
          <w:rFonts w:ascii="Arial" w:hAnsi="Arial" w:cs="Arial"/>
          <w:b/>
          <w:sz w:val="24"/>
          <w:szCs w:val="24"/>
        </w:rPr>
        <w:t>First-tier Tribunal</w:t>
      </w:r>
    </w:p>
    <w:p w14:paraId="0EA640F6" w14:textId="038467B1" w:rsidR="00050AD3" w:rsidRDefault="00E52870" w:rsidP="00050AD3">
      <w:pPr>
        <w:rPr>
          <w:rFonts w:ascii="Arial" w:hAnsi="Arial" w:cs="Arial"/>
          <w:sz w:val="24"/>
          <w:szCs w:val="24"/>
        </w:rPr>
      </w:pPr>
      <w:r w:rsidRPr="00E52870">
        <w:rPr>
          <w:rFonts w:ascii="Arial" w:hAnsi="Arial" w:cs="Arial"/>
          <w:sz w:val="24"/>
          <w:szCs w:val="24"/>
        </w:rPr>
        <w:t>1</w:t>
      </w:r>
      <w:r w:rsidR="002A53E5">
        <w:rPr>
          <w:rFonts w:ascii="Arial" w:hAnsi="Arial" w:cs="Arial"/>
          <w:sz w:val="24"/>
          <w:szCs w:val="24"/>
        </w:rPr>
        <w:t>7</w:t>
      </w:r>
      <w:r w:rsidR="00440C37" w:rsidRPr="005E49D1">
        <w:rPr>
          <w:rFonts w:ascii="Arial" w:hAnsi="Arial" w:cs="Arial"/>
          <w:sz w:val="24"/>
          <w:szCs w:val="24"/>
        </w:rPr>
        <w:t xml:space="preserve"> w</w:t>
      </w:r>
      <w:r w:rsidR="00440C37">
        <w:rPr>
          <w:rFonts w:ascii="Arial" w:hAnsi="Arial" w:cs="Arial"/>
          <w:sz w:val="24"/>
          <w:szCs w:val="24"/>
        </w:rPr>
        <w:t xml:space="preserve">ritten submissions </w:t>
      </w:r>
      <w:r w:rsidR="009C14FD">
        <w:rPr>
          <w:rFonts w:ascii="Arial" w:hAnsi="Arial" w:cs="Arial"/>
          <w:sz w:val="24"/>
          <w:szCs w:val="24"/>
        </w:rPr>
        <w:t xml:space="preserve">were made by the BATS project worker </w:t>
      </w:r>
      <w:r w:rsidR="00440C37">
        <w:rPr>
          <w:rFonts w:ascii="Arial" w:hAnsi="Arial" w:cs="Arial"/>
          <w:sz w:val="24"/>
          <w:szCs w:val="24"/>
        </w:rPr>
        <w:t xml:space="preserve">to </w:t>
      </w:r>
      <w:r w:rsidR="009C14FD">
        <w:rPr>
          <w:rFonts w:ascii="Arial" w:hAnsi="Arial" w:cs="Arial"/>
          <w:sz w:val="24"/>
          <w:szCs w:val="24"/>
        </w:rPr>
        <w:t xml:space="preserve">the </w:t>
      </w:r>
      <w:r w:rsidR="00440C37">
        <w:rPr>
          <w:rFonts w:ascii="Arial" w:hAnsi="Arial" w:cs="Arial"/>
          <w:sz w:val="24"/>
          <w:szCs w:val="24"/>
        </w:rPr>
        <w:t>First-tier Tribunal</w:t>
      </w:r>
      <w:r w:rsidR="00050AD3">
        <w:rPr>
          <w:rFonts w:ascii="Arial" w:hAnsi="Arial" w:cs="Arial"/>
          <w:sz w:val="24"/>
          <w:szCs w:val="24"/>
        </w:rPr>
        <w:t>; of these 10 then involved direct</w:t>
      </w:r>
      <w:r w:rsidR="00440C37">
        <w:rPr>
          <w:rFonts w:ascii="Arial" w:hAnsi="Arial" w:cs="Arial"/>
          <w:sz w:val="24"/>
          <w:szCs w:val="24"/>
        </w:rPr>
        <w:t xml:space="preserve"> representation at </w:t>
      </w:r>
      <w:r w:rsidR="009C14FD">
        <w:rPr>
          <w:rFonts w:ascii="Arial" w:hAnsi="Arial" w:cs="Arial"/>
          <w:sz w:val="24"/>
          <w:szCs w:val="24"/>
        </w:rPr>
        <w:t xml:space="preserve">a </w:t>
      </w:r>
      <w:r w:rsidR="00440C37">
        <w:rPr>
          <w:rFonts w:ascii="Arial" w:hAnsi="Arial" w:cs="Arial"/>
          <w:sz w:val="24"/>
          <w:szCs w:val="24"/>
        </w:rPr>
        <w:t>First-tier Tribunal hearing</w:t>
      </w:r>
    </w:p>
    <w:p w14:paraId="5D6627D7" w14:textId="77777777" w:rsidR="00965DE5" w:rsidRDefault="00050AD3">
      <w:pPr>
        <w:rPr>
          <w:rFonts w:ascii="Arial" w:hAnsi="Arial" w:cs="Arial"/>
          <w:sz w:val="24"/>
          <w:szCs w:val="24"/>
        </w:rPr>
      </w:pPr>
      <w:r>
        <w:rPr>
          <w:rFonts w:ascii="Arial" w:hAnsi="Arial" w:cs="Arial"/>
          <w:sz w:val="24"/>
          <w:szCs w:val="24"/>
        </w:rPr>
        <w:t xml:space="preserve">In </w:t>
      </w:r>
      <w:r w:rsidR="00E52870">
        <w:rPr>
          <w:rFonts w:ascii="Arial" w:hAnsi="Arial" w:cs="Arial"/>
          <w:sz w:val="24"/>
          <w:szCs w:val="24"/>
        </w:rPr>
        <w:t>5</w:t>
      </w:r>
      <w:r>
        <w:rPr>
          <w:rFonts w:ascii="Arial" w:hAnsi="Arial" w:cs="Arial"/>
          <w:sz w:val="24"/>
          <w:szCs w:val="24"/>
        </w:rPr>
        <w:t xml:space="preserve"> instances</w:t>
      </w:r>
      <w:r w:rsidR="006A2EF4">
        <w:rPr>
          <w:rFonts w:ascii="Arial" w:hAnsi="Arial" w:cs="Arial"/>
          <w:sz w:val="24"/>
          <w:szCs w:val="24"/>
        </w:rPr>
        <w:t xml:space="preserve"> detailed guidance notes for submission </w:t>
      </w:r>
      <w:r>
        <w:rPr>
          <w:rFonts w:ascii="Arial" w:hAnsi="Arial" w:cs="Arial"/>
          <w:sz w:val="24"/>
          <w:szCs w:val="24"/>
        </w:rPr>
        <w:t xml:space="preserve">were </w:t>
      </w:r>
      <w:r w:rsidR="006A2EF4">
        <w:rPr>
          <w:rFonts w:ascii="Arial" w:hAnsi="Arial" w:cs="Arial"/>
          <w:sz w:val="24"/>
          <w:szCs w:val="24"/>
        </w:rPr>
        <w:t>provided to</w:t>
      </w:r>
      <w:r w:rsidR="009C14FD">
        <w:rPr>
          <w:rFonts w:ascii="Arial" w:hAnsi="Arial" w:cs="Arial"/>
          <w:sz w:val="24"/>
          <w:szCs w:val="24"/>
        </w:rPr>
        <w:t xml:space="preserve"> the</w:t>
      </w:r>
      <w:r w:rsidR="006A2EF4">
        <w:rPr>
          <w:rFonts w:ascii="Arial" w:hAnsi="Arial" w:cs="Arial"/>
          <w:sz w:val="24"/>
          <w:szCs w:val="24"/>
        </w:rPr>
        <w:t xml:space="preserve"> front</w:t>
      </w:r>
      <w:r w:rsidR="009C14FD">
        <w:rPr>
          <w:rFonts w:ascii="Arial" w:hAnsi="Arial" w:cs="Arial"/>
          <w:sz w:val="24"/>
          <w:szCs w:val="24"/>
        </w:rPr>
        <w:t>-</w:t>
      </w:r>
      <w:r w:rsidR="006A2EF4">
        <w:rPr>
          <w:rFonts w:ascii="Arial" w:hAnsi="Arial" w:cs="Arial"/>
          <w:sz w:val="24"/>
          <w:szCs w:val="24"/>
        </w:rPr>
        <w:t>line worker</w:t>
      </w:r>
      <w:r w:rsidR="00676B77">
        <w:rPr>
          <w:rFonts w:ascii="Arial" w:hAnsi="Arial" w:cs="Arial"/>
          <w:sz w:val="24"/>
          <w:szCs w:val="24"/>
        </w:rPr>
        <w:t>.</w:t>
      </w:r>
    </w:p>
    <w:p w14:paraId="4E2C1BB0" w14:textId="2FF9395B" w:rsidR="002A53E5" w:rsidRDefault="00965DE5">
      <w:pPr>
        <w:rPr>
          <w:rFonts w:ascii="Arial" w:hAnsi="Arial" w:cs="Arial"/>
          <w:sz w:val="24"/>
          <w:szCs w:val="24"/>
        </w:rPr>
      </w:pPr>
      <w:r>
        <w:rPr>
          <w:rFonts w:ascii="Arial" w:hAnsi="Arial" w:cs="Arial"/>
          <w:sz w:val="24"/>
          <w:szCs w:val="24"/>
        </w:rPr>
        <w:t xml:space="preserve">In 18 of these </w:t>
      </w:r>
      <w:r w:rsidR="006A4E3E">
        <w:rPr>
          <w:rFonts w:ascii="Arial" w:hAnsi="Arial" w:cs="Arial"/>
          <w:sz w:val="24"/>
          <w:szCs w:val="24"/>
        </w:rPr>
        <w:t xml:space="preserve">22 </w:t>
      </w:r>
      <w:r>
        <w:rPr>
          <w:rFonts w:ascii="Arial" w:hAnsi="Arial" w:cs="Arial"/>
          <w:sz w:val="24"/>
          <w:szCs w:val="24"/>
        </w:rPr>
        <w:t>cases the representation or submissions</w:t>
      </w:r>
      <w:r w:rsidR="00676B77">
        <w:rPr>
          <w:rFonts w:ascii="Arial" w:hAnsi="Arial" w:cs="Arial"/>
          <w:sz w:val="24"/>
          <w:szCs w:val="24"/>
        </w:rPr>
        <w:t xml:space="preserve"> led to a successful outcome at appeal.</w:t>
      </w:r>
      <w:r w:rsidR="004B08FB">
        <w:rPr>
          <w:rFonts w:ascii="Arial" w:hAnsi="Arial" w:cs="Arial"/>
          <w:sz w:val="24"/>
          <w:szCs w:val="24"/>
        </w:rPr>
        <w:t xml:space="preserve"> </w:t>
      </w:r>
      <w:r w:rsidR="00862D24">
        <w:rPr>
          <w:rFonts w:ascii="Arial" w:hAnsi="Arial" w:cs="Arial"/>
          <w:sz w:val="24"/>
          <w:szCs w:val="24"/>
        </w:rPr>
        <w:t>Decisions are awaited in 4</w:t>
      </w:r>
      <w:r w:rsidR="002A53E5">
        <w:rPr>
          <w:rFonts w:ascii="Arial" w:hAnsi="Arial" w:cs="Arial"/>
          <w:sz w:val="24"/>
          <w:szCs w:val="24"/>
        </w:rPr>
        <w:t xml:space="preserve"> cases</w:t>
      </w:r>
      <w:r w:rsidR="006A4E3E">
        <w:rPr>
          <w:rFonts w:ascii="Arial" w:hAnsi="Arial" w:cs="Arial"/>
          <w:sz w:val="24"/>
          <w:szCs w:val="24"/>
        </w:rPr>
        <w:t>,</w:t>
      </w:r>
      <w:r w:rsidR="00862D24">
        <w:rPr>
          <w:rFonts w:ascii="Arial" w:hAnsi="Arial" w:cs="Arial"/>
          <w:sz w:val="24"/>
          <w:szCs w:val="24"/>
        </w:rPr>
        <w:t xml:space="preserve"> 2 where representation has been agreed</w:t>
      </w:r>
      <w:r w:rsidR="002A53E5">
        <w:rPr>
          <w:rFonts w:ascii="Arial" w:hAnsi="Arial" w:cs="Arial"/>
          <w:sz w:val="24"/>
          <w:szCs w:val="24"/>
        </w:rPr>
        <w:t>.</w:t>
      </w:r>
    </w:p>
    <w:p w14:paraId="4887F875" w14:textId="69B22288" w:rsidR="005B0CE0" w:rsidRDefault="005B0CE0">
      <w:pPr>
        <w:rPr>
          <w:rFonts w:ascii="Arial" w:hAnsi="Arial" w:cs="Arial"/>
          <w:sz w:val="24"/>
          <w:szCs w:val="24"/>
        </w:rPr>
      </w:pPr>
      <w:r>
        <w:rPr>
          <w:rFonts w:ascii="Arial" w:hAnsi="Arial" w:cs="Arial"/>
          <w:sz w:val="24"/>
          <w:szCs w:val="24"/>
        </w:rPr>
        <w:t xml:space="preserve">In </w:t>
      </w:r>
      <w:r w:rsidR="002A53E5">
        <w:rPr>
          <w:rFonts w:ascii="Arial" w:hAnsi="Arial" w:cs="Arial"/>
          <w:sz w:val="24"/>
          <w:szCs w:val="24"/>
        </w:rPr>
        <w:t>5</w:t>
      </w:r>
      <w:r>
        <w:rPr>
          <w:rFonts w:ascii="Arial" w:hAnsi="Arial" w:cs="Arial"/>
          <w:sz w:val="24"/>
          <w:szCs w:val="24"/>
        </w:rPr>
        <w:t xml:space="preserve"> case</w:t>
      </w:r>
      <w:r w:rsidR="002A53E5">
        <w:rPr>
          <w:rFonts w:ascii="Arial" w:hAnsi="Arial" w:cs="Arial"/>
          <w:sz w:val="24"/>
          <w:szCs w:val="24"/>
        </w:rPr>
        <w:t>s</w:t>
      </w:r>
      <w:r>
        <w:rPr>
          <w:rFonts w:ascii="Arial" w:hAnsi="Arial" w:cs="Arial"/>
          <w:sz w:val="24"/>
          <w:szCs w:val="24"/>
        </w:rPr>
        <w:t xml:space="preserve"> no grounds to support the appeal were identified</w:t>
      </w:r>
      <w:r w:rsidR="002A53E5">
        <w:rPr>
          <w:rFonts w:ascii="Arial" w:hAnsi="Arial" w:cs="Arial"/>
          <w:sz w:val="24"/>
          <w:szCs w:val="24"/>
        </w:rPr>
        <w:t xml:space="preserve">. In one of these </w:t>
      </w:r>
      <w:r>
        <w:rPr>
          <w:rFonts w:ascii="Arial" w:hAnsi="Arial" w:cs="Arial"/>
          <w:sz w:val="24"/>
          <w:szCs w:val="24"/>
        </w:rPr>
        <w:t>advice about the process and presenting the case at the hearing were provided to the appellant</w:t>
      </w:r>
      <w:r w:rsidR="00C72D3D">
        <w:rPr>
          <w:rFonts w:ascii="Arial" w:hAnsi="Arial" w:cs="Arial"/>
          <w:sz w:val="24"/>
          <w:szCs w:val="24"/>
        </w:rPr>
        <w:t xml:space="preserve"> who wished to progress the case anyway</w:t>
      </w:r>
      <w:r>
        <w:rPr>
          <w:rFonts w:ascii="Arial" w:hAnsi="Arial" w:cs="Arial"/>
          <w:sz w:val="24"/>
          <w:szCs w:val="24"/>
        </w:rPr>
        <w:t>.</w:t>
      </w:r>
      <w:r w:rsidR="002A53E5">
        <w:rPr>
          <w:rFonts w:ascii="Arial" w:hAnsi="Arial" w:cs="Arial"/>
          <w:sz w:val="24"/>
          <w:szCs w:val="24"/>
        </w:rPr>
        <w:t xml:space="preserve"> In 3 of the cases the client was advised that a new claim for the same or alternative benefit had more chance of success.</w:t>
      </w:r>
    </w:p>
    <w:p w14:paraId="0AA3FAA6" w14:textId="57EF1727" w:rsidR="00E52870" w:rsidRDefault="00E52870">
      <w:pPr>
        <w:rPr>
          <w:rFonts w:ascii="Arial" w:hAnsi="Arial" w:cs="Arial"/>
          <w:sz w:val="24"/>
          <w:szCs w:val="24"/>
        </w:rPr>
      </w:pPr>
      <w:r>
        <w:rPr>
          <w:rFonts w:ascii="Arial" w:hAnsi="Arial" w:cs="Arial"/>
          <w:sz w:val="24"/>
          <w:szCs w:val="24"/>
        </w:rPr>
        <w:t>In all of the above cases</w:t>
      </w:r>
      <w:r w:rsidR="00FF494A">
        <w:rPr>
          <w:rFonts w:ascii="Arial" w:hAnsi="Arial" w:cs="Arial"/>
          <w:sz w:val="24"/>
          <w:szCs w:val="24"/>
        </w:rPr>
        <w:t>,</w:t>
      </w:r>
      <w:r>
        <w:rPr>
          <w:rFonts w:ascii="Arial" w:hAnsi="Arial" w:cs="Arial"/>
          <w:sz w:val="24"/>
          <w:szCs w:val="24"/>
        </w:rPr>
        <w:t xml:space="preserve"> grounds to support the appeal were provided after gathering evidence from meetings with the worker and their client</w:t>
      </w:r>
      <w:r w:rsidR="005B0CE0">
        <w:rPr>
          <w:rFonts w:ascii="Arial" w:hAnsi="Arial" w:cs="Arial"/>
          <w:sz w:val="24"/>
          <w:szCs w:val="24"/>
        </w:rPr>
        <w:t xml:space="preserve"> directly</w:t>
      </w:r>
      <w:r>
        <w:rPr>
          <w:rFonts w:ascii="Arial" w:hAnsi="Arial" w:cs="Arial"/>
          <w:sz w:val="24"/>
          <w:szCs w:val="24"/>
        </w:rPr>
        <w:t>.</w:t>
      </w:r>
    </w:p>
    <w:p w14:paraId="4FD36BA0" w14:textId="77777777" w:rsidR="00E52870" w:rsidRPr="005E49D1" w:rsidRDefault="00E52870">
      <w:pPr>
        <w:rPr>
          <w:rFonts w:ascii="Arial" w:hAnsi="Arial" w:cs="Arial"/>
          <w:b/>
          <w:sz w:val="24"/>
          <w:szCs w:val="24"/>
        </w:rPr>
      </w:pPr>
      <w:r w:rsidRPr="005E49D1">
        <w:rPr>
          <w:rFonts w:ascii="Arial" w:hAnsi="Arial" w:cs="Arial"/>
          <w:b/>
          <w:sz w:val="24"/>
          <w:szCs w:val="24"/>
        </w:rPr>
        <w:t>Upper Tribunal</w:t>
      </w:r>
    </w:p>
    <w:p w14:paraId="06A06261" w14:textId="46879987" w:rsidR="00440C37" w:rsidRDefault="00050AD3" w:rsidP="00050AD3">
      <w:pPr>
        <w:rPr>
          <w:rFonts w:ascii="Arial" w:hAnsi="Arial" w:cs="Arial"/>
          <w:sz w:val="24"/>
          <w:szCs w:val="24"/>
        </w:rPr>
      </w:pPr>
      <w:r>
        <w:rPr>
          <w:rFonts w:ascii="Arial" w:hAnsi="Arial" w:cs="Arial"/>
          <w:sz w:val="24"/>
          <w:szCs w:val="24"/>
        </w:rPr>
        <w:t xml:space="preserve">11 cases related to requests to identify a potential error of law in a </w:t>
      </w:r>
      <w:r w:rsidR="009C14FD">
        <w:rPr>
          <w:rFonts w:ascii="Arial" w:hAnsi="Arial" w:cs="Arial"/>
          <w:sz w:val="24"/>
          <w:szCs w:val="24"/>
        </w:rPr>
        <w:t>F</w:t>
      </w:r>
      <w:r>
        <w:rPr>
          <w:rFonts w:ascii="Arial" w:hAnsi="Arial" w:cs="Arial"/>
          <w:sz w:val="24"/>
          <w:szCs w:val="24"/>
        </w:rPr>
        <w:t xml:space="preserve">irst-tier Tribunal decision and provide scope for further appeal. This led to </w:t>
      </w:r>
      <w:r w:rsidR="00440C37">
        <w:rPr>
          <w:rFonts w:ascii="Arial" w:hAnsi="Arial" w:cs="Arial"/>
          <w:sz w:val="24"/>
          <w:szCs w:val="24"/>
        </w:rPr>
        <w:t>4 instances of submissions to Upper Tribunal on error of law grounds</w:t>
      </w:r>
      <w:r>
        <w:rPr>
          <w:rFonts w:ascii="Arial" w:hAnsi="Arial" w:cs="Arial"/>
          <w:sz w:val="24"/>
          <w:szCs w:val="24"/>
        </w:rPr>
        <w:t>. Of these</w:t>
      </w:r>
      <w:r w:rsidR="00675063">
        <w:rPr>
          <w:rFonts w:ascii="Arial" w:hAnsi="Arial" w:cs="Arial"/>
          <w:sz w:val="24"/>
          <w:szCs w:val="24"/>
        </w:rPr>
        <w:t>,</w:t>
      </w:r>
      <w:r>
        <w:rPr>
          <w:rFonts w:ascii="Arial" w:hAnsi="Arial" w:cs="Arial"/>
          <w:sz w:val="24"/>
          <w:szCs w:val="24"/>
        </w:rPr>
        <w:t xml:space="preserve"> 2 </w:t>
      </w:r>
      <w:r w:rsidR="009C14FD">
        <w:rPr>
          <w:rFonts w:ascii="Arial" w:hAnsi="Arial" w:cs="Arial"/>
          <w:sz w:val="24"/>
          <w:szCs w:val="24"/>
        </w:rPr>
        <w:t>cases were referred back to F</w:t>
      </w:r>
      <w:r>
        <w:rPr>
          <w:rFonts w:ascii="Arial" w:hAnsi="Arial" w:cs="Arial"/>
          <w:sz w:val="24"/>
          <w:szCs w:val="24"/>
        </w:rPr>
        <w:t>irst-tier Tribunal</w:t>
      </w:r>
      <w:r w:rsidR="00675063">
        <w:rPr>
          <w:rFonts w:ascii="Arial" w:hAnsi="Arial" w:cs="Arial"/>
          <w:sz w:val="24"/>
          <w:szCs w:val="24"/>
        </w:rPr>
        <w:t xml:space="preserve"> for re-hearing</w:t>
      </w:r>
      <w:r>
        <w:rPr>
          <w:rFonts w:ascii="Arial" w:hAnsi="Arial" w:cs="Arial"/>
          <w:sz w:val="24"/>
          <w:szCs w:val="24"/>
        </w:rPr>
        <w:t xml:space="preserve">, </w:t>
      </w:r>
      <w:r w:rsidR="00AF15FE">
        <w:rPr>
          <w:rFonts w:ascii="Arial" w:hAnsi="Arial" w:cs="Arial"/>
          <w:sz w:val="24"/>
          <w:szCs w:val="24"/>
        </w:rPr>
        <w:t>leading to successful outcome</w:t>
      </w:r>
      <w:r>
        <w:rPr>
          <w:rFonts w:ascii="Arial" w:hAnsi="Arial" w:cs="Arial"/>
          <w:sz w:val="24"/>
          <w:szCs w:val="24"/>
        </w:rPr>
        <w:t xml:space="preserve">s. In a further 3 cases error of law was identified but these were borderline cases and the </w:t>
      </w:r>
      <w:r w:rsidR="009C14FD">
        <w:rPr>
          <w:rFonts w:ascii="Arial" w:hAnsi="Arial" w:cs="Arial"/>
          <w:sz w:val="24"/>
          <w:szCs w:val="24"/>
        </w:rPr>
        <w:t xml:space="preserve">adviser or </w:t>
      </w:r>
      <w:r>
        <w:rPr>
          <w:rFonts w:ascii="Arial" w:hAnsi="Arial" w:cs="Arial"/>
          <w:sz w:val="24"/>
          <w:szCs w:val="24"/>
        </w:rPr>
        <w:t xml:space="preserve">claimant decided not to proceed. </w:t>
      </w:r>
      <w:r w:rsidR="00675063">
        <w:rPr>
          <w:rFonts w:ascii="Arial" w:hAnsi="Arial" w:cs="Arial"/>
          <w:sz w:val="24"/>
          <w:szCs w:val="24"/>
        </w:rPr>
        <w:t>In the remaining cases, detailed guidance was provided but it is not known whether the client decided to take the case forward.</w:t>
      </w:r>
    </w:p>
    <w:p w14:paraId="4F6201F4" w14:textId="77777777" w:rsidR="009C14FD" w:rsidRDefault="009C14FD">
      <w:pPr>
        <w:rPr>
          <w:rFonts w:ascii="Arial" w:hAnsi="Arial" w:cs="Arial"/>
          <w:b/>
          <w:sz w:val="28"/>
          <w:szCs w:val="24"/>
        </w:rPr>
      </w:pPr>
    </w:p>
    <w:p w14:paraId="58A88A51" w14:textId="77777777" w:rsidR="00DF6193" w:rsidRDefault="00DF6193">
      <w:pPr>
        <w:rPr>
          <w:rFonts w:ascii="Arial" w:hAnsi="Arial" w:cs="Arial"/>
          <w:b/>
          <w:sz w:val="28"/>
          <w:szCs w:val="24"/>
        </w:rPr>
      </w:pPr>
      <w:r>
        <w:rPr>
          <w:rFonts w:ascii="Arial" w:hAnsi="Arial" w:cs="Arial"/>
          <w:b/>
          <w:sz w:val="28"/>
          <w:szCs w:val="24"/>
        </w:rPr>
        <w:br w:type="page"/>
      </w:r>
    </w:p>
    <w:p w14:paraId="45D93A35" w14:textId="7B4672A1" w:rsidR="00537D89" w:rsidRPr="00C46BB4" w:rsidRDefault="00A465FD">
      <w:pPr>
        <w:rPr>
          <w:rFonts w:ascii="Arial" w:hAnsi="Arial" w:cs="Arial"/>
          <w:b/>
          <w:sz w:val="28"/>
          <w:szCs w:val="24"/>
        </w:rPr>
      </w:pPr>
      <w:r w:rsidRPr="00C46BB4">
        <w:rPr>
          <w:rFonts w:ascii="Arial" w:hAnsi="Arial" w:cs="Arial"/>
          <w:b/>
          <w:sz w:val="28"/>
          <w:szCs w:val="24"/>
        </w:rPr>
        <w:lastRenderedPageBreak/>
        <w:t>Breakdown of benefit issues</w:t>
      </w:r>
    </w:p>
    <w:p w14:paraId="1BB60F82" w14:textId="6890F46C" w:rsidR="003E2A26" w:rsidRDefault="003E2A26" w:rsidP="00CE0FCE">
      <w:pPr>
        <w:spacing w:after="0"/>
        <w:rPr>
          <w:rFonts w:ascii="Arial" w:hAnsi="Arial" w:cs="Arial"/>
          <w:sz w:val="24"/>
          <w:szCs w:val="24"/>
        </w:rPr>
      </w:pPr>
      <w:r>
        <w:rPr>
          <w:rFonts w:ascii="Arial" w:hAnsi="Arial" w:cs="Arial"/>
          <w:sz w:val="24"/>
          <w:szCs w:val="24"/>
        </w:rPr>
        <w:t xml:space="preserve">The majority of the cases involved challenges to </w:t>
      </w:r>
      <w:r w:rsidR="000E17D6">
        <w:rPr>
          <w:rFonts w:ascii="Arial" w:hAnsi="Arial" w:cs="Arial"/>
          <w:sz w:val="24"/>
          <w:szCs w:val="24"/>
        </w:rPr>
        <w:t>P</w:t>
      </w:r>
      <w:r>
        <w:rPr>
          <w:rFonts w:ascii="Arial" w:hAnsi="Arial" w:cs="Arial"/>
          <w:sz w:val="24"/>
          <w:szCs w:val="24"/>
        </w:rPr>
        <w:t xml:space="preserve">ersonal </w:t>
      </w:r>
      <w:r w:rsidR="000E17D6">
        <w:rPr>
          <w:rFonts w:ascii="Arial" w:hAnsi="Arial" w:cs="Arial"/>
          <w:sz w:val="24"/>
          <w:szCs w:val="24"/>
        </w:rPr>
        <w:t>I</w:t>
      </w:r>
      <w:r>
        <w:rPr>
          <w:rFonts w:ascii="Arial" w:hAnsi="Arial" w:cs="Arial"/>
          <w:sz w:val="24"/>
          <w:szCs w:val="24"/>
        </w:rPr>
        <w:t xml:space="preserve">ndependence </w:t>
      </w:r>
      <w:r w:rsidR="000E17D6">
        <w:rPr>
          <w:rFonts w:ascii="Arial" w:hAnsi="Arial" w:cs="Arial"/>
          <w:sz w:val="24"/>
          <w:szCs w:val="24"/>
        </w:rPr>
        <w:t>P</w:t>
      </w:r>
      <w:r>
        <w:rPr>
          <w:rFonts w:ascii="Arial" w:hAnsi="Arial" w:cs="Arial"/>
          <w:sz w:val="24"/>
          <w:szCs w:val="24"/>
        </w:rPr>
        <w:t xml:space="preserve">ayment disability criteria. As this is a relatively new benefit, many of the concepts are to be tested and </w:t>
      </w:r>
      <w:r w:rsidR="000E17D6">
        <w:rPr>
          <w:rFonts w:ascii="Arial" w:hAnsi="Arial" w:cs="Arial"/>
          <w:sz w:val="24"/>
          <w:szCs w:val="24"/>
        </w:rPr>
        <w:t xml:space="preserve">there is </w:t>
      </w:r>
      <w:r>
        <w:rPr>
          <w:rFonts w:ascii="Arial" w:hAnsi="Arial" w:cs="Arial"/>
          <w:sz w:val="24"/>
          <w:szCs w:val="24"/>
        </w:rPr>
        <w:t>a lot of case law development, increasing the need for specialist suppor</w:t>
      </w:r>
      <w:r w:rsidR="005B248C">
        <w:rPr>
          <w:rFonts w:ascii="Arial" w:hAnsi="Arial" w:cs="Arial"/>
          <w:sz w:val="24"/>
          <w:szCs w:val="24"/>
        </w:rPr>
        <w:t xml:space="preserve">t. Many of the other cases could be described under more than one issue area but </w:t>
      </w:r>
      <w:r w:rsidR="009C14FD">
        <w:rPr>
          <w:rFonts w:ascii="Arial" w:hAnsi="Arial" w:cs="Arial"/>
          <w:sz w:val="24"/>
          <w:szCs w:val="24"/>
        </w:rPr>
        <w:t>have been included below under one</w:t>
      </w:r>
      <w:r w:rsidR="005B248C">
        <w:rPr>
          <w:rFonts w:ascii="Arial" w:hAnsi="Arial" w:cs="Arial"/>
          <w:sz w:val="24"/>
          <w:szCs w:val="24"/>
        </w:rPr>
        <w:t xml:space="preserve"> issue only.</w:t>
      </w:r>
    </w:p>
    <w:p w14:paraId="601F9E4E" w14:textId="77777777" w:rsidR="000E17D6" w:rsidRDefault="000E17D6" w:rsidP="00CE0FCE">
      <w:pPr>
        <w:spacing w:after="0"/>
        <w:rPr>
          <w:rFonts w:ascii="Arial" w:hAnsi="Arial" w:cs="Arial"/>
          <w:sz w:val="24"/>
          <w:szCs w:val="24"/>
        </w:rPr>
      </w:pPr>
    </w:p>
    <w:tbl>
      <w:tblPr>
        <w:tblStyle w:val="TableGrid"/>
        <w:tblW w:w="0" w:type="auto"/>
        <w:tblLook w:val="04A0" w:firstRow="1" w:lastRow="0" w:firstColumn="1" w:lastColumn="0" w:noHBand="0" w:noVBand="1"/>
      </w:tblPr>
      <w:tblGrid>
        <w:gridCol w:w="6374"/>
        <w:gridCol w:w="1134"/>
      </w:tblGrid>
      <w:tr w:rsidR="000E17D6" w14:paraId="69390724" w14:textId="77777777" w:rsidTr="001A6D11">
        <w:tc>
          <w:tcPr>
            <w:tcW w:w="6374" w:type="dxa"/>
          </w:tcPr>
          <w:p w14:paraId="3FD438F5" w14:textId="0D91C5AE" w:rsidR="000E17D6" w:rsidRPr="000E17D6" w:rsidRDefault="000E17D6">
            <w:pPr>
              <w:rPr>
                <w:rFonts w:ascii="Arial" w:hAnsi="Arial" w:cs="Arial"/>
                <w:b/>
                <w:sz w:val="24"/>
                <w:szCs w:val="24"/>
              </w:rPr>
            </w:pPr>
            <w:r>
              <w:rPr>
                <w:rFonts w:ascii="Arial" w:hAnsi="Arial" w:cs="Arial"/>
                <w:b/>
                <w:sz w:val="24"/>
                <w:szCs w:val="24"/>
              </w:rPr>
              <w:t>Benefit</w:t>
            </w:r>
          </w:p>
        </w:tc>
        <w:tc>
          <w:tcPr>
            <w:tcW w:w="1134" w:type="dxa"/>
          </w:tcPr>
          <w:p w14:paraId="4B99E027" w14:textId="2C595930" w:rsidR="000E17D6" w:rsidRPr="000E17D6" w:rsidRDefault="000E17D6">
            <w:pPr>
              <w:rPr>
                <w:rFonts w:ascii="Arial" w:hAnsi="Arial" w:cs="Arial"/>
                <w:b/>
                <w:sz w:val="24"/>
                <w:szCs w:val="24"/>
              </w:rPr>
            </w:pPr>
            <w:r>
              <w:rPr>
                <w:rFonts w:ascii="Arial" w:hAnsi="Arial" w:cs="Arial"/>
                <w:b/>
                <w:sz w:val="24"/>
                <w:szCs w:val="24"/>
              </w:rPr>
              <w:t>No of cases</w:t>
            </w:r>
          </w:p>
        </w:tc>
      </w:tr>
      <w:tr w:rsidR="008930D2" w14:paraId="2615C913" w14:textId="77777777" w:rsidTr="001A6D11">
        <w:tc>
          <w:tcPr>
            <w:tcW w:w="6374" w:type="dxa"/>
          </w:tcPr>
          <w:p w14:paraId="276CE653" w14:textId="77777777" w:rsidR="008930D2" w:rsidRDefault="008930D2">
            <w:pPr>
              <w:rPr>
                <w:rFonts w:ascii="Arial" w:hAnsi="Arial" w:cs="Arial"/>
                <w:sz w:val="24"/>
                <w:szCs w:val="24"/>
              </w:rPr>
            </w:pPr>
            <w:r>
              <w:rPr>
                <w:rFonts w:ascii="Arial" w:hAnsi="Arial" w:cs="Arial"/>
                <w:sz w:val="24"/>
                <w:szCs w:val="24"/>
              </w:rPr>
              <w:t>Capital</w:t>
            </w:r>
          </w:p>
        </w:tc>
        <w:tc>
          <w:tcPr>
            <w:tcW w:w="1134" w:type="dxa"/>
          </w:tcPr>
          <w:p w14:paraId="17CCC7B2" w14:textId="77777777" w:rsidR="008930D2" w:rsidRDefault="008930D2" w:rsidP="000E17D6">
            <w:pPr>
              <w:jc w:val="center"/>
              <w:rPr>
                <w:rFonts w:ascii="Arial" w:hAnsi="Arial" w:cs="Arial"/>
                <w:sz w:val="24"/>
                <w:szCs w:val="24"/>
              </w:rPr>
            </w:pPr>
            <w:r>
              <w:rPr>
                <w:rFonts w:ascii="Arial" w:hAnsi="Arial" w:cs="Arial"/>
                <w:sz w:val="24"/>
                <w:szCs w:val="24"/>
              </w:rPr>
              <w:t>2</w:t>
            </w:r>
          </w:p>
        </w:tc>
      </w:tr>
      <w:tr w:rsidR="008930D2" w14:paraId="2690DC4F" w14:textId="77777777" w:rsidTr="001A6D11">
        <w:tc>
          <w:tcPr>
            <w:tcW w:w="6374" w:type="dxa"/>
          </w:tcPr>
          <w:p w14:paraId="2CCFB216" w14:textId="77777777" w:rsidR="008930D2" w:rsidRDefault="008930D2" w:rsidP="008930D2">
            <w:pPr>
              <w:rPr>
                <w:rFonts w:ascii="Arial" w:hAnsi="Arial" w:cs="Arial"/>
                <w:sz w:val="24"/>
                <w:szCs w:val="24"/>
              </w:rPr>
            </w:pPr>
            <w:r>
              <w:rPr>
                <w:rFonts w:ascii="Arial" w:hAnsi="Arial" w:cs="Arial"/>
                <w:sz w:val="24"/>
                <w:szCs w:val="24"/>
              </w:rPr>
              <w:t>Decision and appeals rules and procedures</w:t>
            </w:r>
          </w:p>
        </w:tc>
        <w:tc>
          <w:tcPr>
            <w:tcW w:w="1134" w:type="dxa"/>
          </w:tcPr>
          <w:p w14:paraId="36EFBF76" w14:textId="77777777" w:rsidR="008930D2" w:rsidRDefault="008930D2" w:rsidP="000E17D6">
            <w:pPr>
              <w:jc w:val="center"/>
              <w:rPr>
                <w:rFonts w:ascii="Arial" w:hAnsi="Arial" w:cs="Arial"/>
                <w:sz w:val="24"/>
                <w:szCs w:val="24"/>
              </w:rPr>
            </w:pPr>
            <w:r>
              <w:rPr>
                <w:rFonts w:ascii="Arial" w:hAnsi="Arial" w:cs="Arial"/>
                <w:sz w:val="24"/>
                <w:szCs w:val="24"/>
              </w:rPr>
              <w:t>3</w:t>
            </w:r>
          </w:p>
        </w:tc>
      </w:tr>
      <w:tr w:rsidR="008930D2" w14:paraId="7470A785" w14:textId="77777777" w:rsidTr="001A6D11">
        <w:tc>
          <w:tcPr>
            <w:tcW w:w="6374" w:type="dxa"/>
          </w:tcPr>
          <w:p w14:paraId="1E609AF8" w14:textId="77777777" w:rsidR="008930D2" w:rsidRDefault="008930D2">
            <w:pPr>
              <w:rPr>
                <w:rFonts w:ascii="Arial" w:hAnsi="Arial" w:cs="Arial"/>
                <w:sz w:val="24"/>
                <w:szCs w:val="24"/>
              </w:rPr>
            </w:pPr>
            <w:r>
              <w:rPr>
                <w:rFonts w:ascii="Arial" w:hAnsi="Arial" w:cs="Arial"/>
                <w:sz w:val="24"/>
                <w:szCs w:val="24"/>
              </w:rPr>
              <w:t>Disability Living Allowance disability criteria</w:t>
            </w:r>
          </w:p>
        </w:tc>
        <w:tc>
          <w:tcPr>
            <w:tcW w:w="1134" w:type="dxa"/>
          </w:tcPr>
          <w:p w14:paraId="7B25CE84" w14:textId="34D19F99" w:rsidR="008930D2" w:rsidRDefault="008930D2" w:rsidP="000E17D6">
            <w:pPr>
              <w:jc w:val="center"/>
              <w:rPr>
                <w:rFonts w:ascii="Arial" w:hAnsi="Arial" w:cs="Arial"/>
                <w:sz w:val="24"/>
                <w:szCs w:val="24"/>
              </w:rPr>
            </w:pPr>
            <w:r>
              <w:rPr>
                <w:rFonts w:ascii="Arial" w:hAnsi="Arial" w:cs="Arial"/>
                <w:sz w:val="24"/>
                <w:szCs w:val="24"/>
              </w:rPr>
              <w:t>2</w:t>
            </w:r>
          </w:p>
        </w:tc>
      </w:tr>
      <w:tr w:rsidR="008930D2" w14:paraId="6F2D9B98" w14:textId="77777777" w:rsidTr="001A6D11">
        <w:tc>
          <w:tcPr>
            <w:tcW w:w="6374" w:type="dxa"/>
          </w:tcPr>
          <w:p w14:paraId="20D7860A" w14:textId="77777777" w:rsidR="008930D2" w:rsidRDefault="008930D2">
            <w:pPr>
              <w:rPr>
                <w:rFonts w:ascii="Arial" w:hAnsi="Arial" w:cs="Arial"/>
                <w:sz w:val="24"/>
                <w:szCs w:val="24"/>
              </w:rPr>
            </w:pPr>
            <w:r>
              <w:rPr>
                <w:rFonts w:ascii="Arial" w:hAnsi="Arial" w:cs="Arial"/>
                <w:sz w:val="24"/>
                <w:szCs w:val="24"/>
              </w:rPr>
              <w:t>Employment and Support Allowance work capability</w:t>
            </w:r>
          </w:p>
        </w:tc>
        <w:tc>
          <w:tcPr>
            <w:tcW w:w="1134" w:type="dxa"/>
          </w:tcPr>
          <w:p w14:paraId="073DF6B1" w14:textId="77777777" w:rsidR="008930D2" w:rsidRDefault="008930D2" w:rsidP="005E49D1">
            <w:pPr>
              <w:jc w:val="center"/>
              <w:rPr>
                <w:rFonts w:ascii="Arial" w:hAnsi="Arial" w:cs="Arial"/>
                <w:sz w:val="24"/>
                <w:szCs w:val="24"/>
              </w:rPr>
            </w:pPr>
            <w:r>
              <w:rPr>
                <w:rFonts w:ascii="Arial" w:hAnsi="Arial" w:cs="Arial"/>
                <w:sz w:val="24"/>
                <w:szCs w:val="24"/>
              </w:rPr>
              <w:t>5</w:t>
            </w:r>
          </w:p>
        </w:tc>
      </w:tr>
      <w:tr w:rsidR="008930D2" w14:paraId="35E084B3" w14:textId="77777777" w:rsidTr="001A6D11">
        <w:tc>
          <w:tcPr>
            <w:tcW w:w="6374" w:type="dxa"/>
          </w:tcPr>
          <w:p w14:paraId="43B7185F" w14:textId="77777777" w:rsidR="008930D2" w:rsidRDefault="008930D2">
            <w:pPr>
              <w:rPr>
                <w:rFonts w:ascii="Arial" w:hAnsi="Arial" w:cs="Arial"/>
                <w:sz w:val="24"/>
                <w:szCs w:val="24"/>
              </w:rPr>
            </w:pPr>
            <w:r>
              <w:rPr>
                <w:rFonts w:ascii="Arial" w:hAnsi="Arial" w:cs="Arial"/>
                <w:sz w:val="24"/>
                <w:szCs w:val="24"/>
              </w:rPr>
              <w:t>Error of law</w:t>
            </w:r>
          </w:p>
        </w:tc>
        <w:tc>
          <w:tcPr>
            <w:tcW w:w="1134" w:type="dxa"/>
          </w:tcPr>
          <w:p w14:paraId="622EBB9E" w14:textId="77777777" w:rsidR="008930D2" w:rsidRDefault="008930D2" w:rsidP="005E49D1">
            <w:pPr>
              <w:jc w:val="center"/>
              <w:rPr>
                <w:rFonts w:ascii="Arial" w:hAnsi="Arial" w:cs="Arial"/>
                <w:sz w:val="24"/>
                <w:szCs w:val="24"/>
              </w:rPr>
            </w:pPr>
            <w:r>
              <w:rPr>
                <w:rFonts w:ascii="Arial" w:hAnsi="Arial" w:cs="Arial"/>
                <w:sz w:val="24"/>
                <w:szCs w:val="24"/>
              </w:rPr>
              <w:t>11</w:t>
            </w:r>
          </w:p>
        </w:tc>
      </w:tr>
      <w:tr w:rsidR="008930D2" w14:paraId="0CBEA9EE" w14:textId="77777777" w:rsidTr="001A6D11">
        <w:tc>
          <w:tcPr>
            <w:tcW w:w="6374" w:type="dxa"/>
          </w:tcPr>
          <w:p w14:paraId="014F9AE0" w14:textId="77777777" w:rsidR="008930D2" w:rsidRDefault="008930D2">
            <w:pPr>
              <w:rPr>
                <w:rFonts w:ascii="Arial" w:hAnsi="Arial" w:cs="Arial"/>
                <w:sz w:val="24"/>
                <w:szCs w:val="24"/>
              </w:rPr>
            </w:pPr>
            <w:r>
              <w:rPr>
                <w:rFonts w:ascii="Arial" w:hAnsi="Arial" w:cs="Arial"/>
                <w:sz w:val="24"/>
                <w:szCs w:val="24"/>
              </w:rPr>
              <w:t>Failure to attend medical for PIP or ESA</w:t>
            </w:r>
          </w:p>
        </w:tc>
        <w:tc>
          <w:tcPr>
            <w:tcW w:w="1134" w:type="dxa"/>
          </w:tcPr>
          <w:p w14:paraId="65F540AA" w14:textId="77777777" w:rsidR="008930D2" w:rsidRDefault="008930D2" w:rsidP="005E49D1">
            <w:pPr>
              <w:jc w:val="center"/>
              <w:rPr>
                <w:rFonts w:ascii="Arial" w:hAnsi="Arial" w:cs="Arial"/>
                <w:sz w:val="24"/>
                <w:szCs w:val="24"/>
              </w:rPr>
            </w:pPr>
            <w:r>
              <w:rPr>
                <w:rFonts w:ascii="Arial" w:hAnsi="Arial" w:cs="Arial"/>
                <w:sz w:val="24"/>
                <w:szCs w:val="24"/>
              </w:rPr>
              <w:t>3</w:t>
            </w:r>
          </w:p>
        </w:tc>
      </w:tr>
      <w:tr w:rsidR="008930D2" w14:paraId="0B3B4B4A" w14:textId="77777777" w:rsidTr="001A6D11">
        <w:tc>
          <w:tcPr>
            <w:tcW w:w="6374" w:type="dxa"/>
          </w:tcPr>
          <w:p w14:paraId="0989CB2F" w14:textId="77777777" w:rsidR="008930D2" w:rsidRDefault="008930D2">
            <w:pPr>
              <w:rPr>
                <w:rFonts w:ascii="Arial" w:hAnsi="Arial" w:cs="Arial"/>
                <w:sz w:val="24"/>
                <w:szCs w:val="24"/>
              </w:rPr>
            </w:pPr>
            <w:r>
              <w:rPr>
                <w:rFonts w:ascii="Arial" w:hAnsi="Arial" w:cs="Arial"/>
                <w:sz w:val="24"/>
                <w:szCs w:val="24"/>
              </w:rPr>
              <w:t>Housing Benefit</w:t>
            </w:r>
          </w:p>
        </w:tc>
        <w:tc>
          <w:tcPr>
            <w:tcW w:w="1134" w:type="dxa"/>
          </w:tcPr>
          <w:p w14:paraId="064474A3" w14:textId="77777777" w:rsidR="008930D2" w:rsidRDefault="008930D2" w:rsidP="000E17D6">
            <w:pPr>
              <w:jc w:val="center"/>
              <w:rPr>
                <w:rFonts w:ascii="Arial" w:hAnsi="Arial" w:cs="Arial"/>
                <w:sz w:val="24"/>
                <w:szCs w:val="24"/>
              </w:rPr>
            </w:pPr>
            <w:r>
              <w:rPr>
                <w:rFonts w:ascii="Arial" w:hAnsi="Arial" w:cs="Arial"/>
                <w:sz w:val="24"/>
                <w:szCs w:val="24"/>
              </w:rPr>
              <w:t>1</w:t>
            </w:r>
          </w:p>
        </w:tc>
      </w:tr>
      <w:tr w:rsidR="008930D2" w14:paraId="681E6CF9" w14:textId="77777777" w:rsidTr="001A6D11">
        <w:tc>
          <w:tcPr>
            <w:tcW w:w="6374" w:type="dxa"/>
          </w:tcPr>
          <w:p w14:paraId="7CC40097" w14:textId="77777777" w:rsidR="008930D2" w:rsidRDefault="008930D2">
            <w:pPr>
              <w:rPr>
                <w:rFonts w:ascii="Arial" w:hAnsi="Arial" w:cs="Arial"/>
                <w:sz w:val="24"/>
                <w:szCs w:val="24"/>
              </w:rPr>
            </w:pPr>
            <w:r>
              <w:rPr>
                <w:rFonts w:ascii="Arial" w:hAnsi="Arial" w:cs="Arial"/>
                <w:sz w:val="24"/>
                <w:szCs w:val="24"/>
              </w:rPr>
              <w:t>Overpayments</w:t>
            </w:r>
          </w:p>
        </w:tc>
        <w:tc>
          <w:tcPr>
            <w:tcW w:w="1134" w:type="dxa"/>
          </w:tcPr>
          <w:p w14:paraId="06578F3B" w14:textId="77777777" w:rsidR="008930D2" w:rsidRDefault="008930D2" w:rsidP="005E49D1">
            <w:pPr>
              <w:jc w:val="center"/>
              <w:rPr>
                <w:rFonts w:ascii="Arial" w:hAnsi="Arial" w:cs="Arial"/>
                <w:sz w:val="24"/>
                <w:szCs w:val="24"/>
              </w:rPr>
            </w:pPr>
            <w:r>
              <w:rPr>
                <w:rFonts w:ascii="Arial" w:hAnsi="Arial" w:cs="Arial"/>
                <w:sz w:val="24"/>
                <w:szCs w:val="24"/>
              </w:rPr>
              <w:t>8</w:t>
            </w:r>
          </w:p>
        </w:tc>
      </w:tr>
      <w:tr w:rsidR="008930D2" w14:paraId="7ACFEB66" w14:textId="77777777" w:rsidTr="001A6D11">
        <w:tc>
          <w:tcPr>
            <w:tcW w:w="6374" w:type="dxa"/>
          </w:tcPr>
          <w:p w14:paraId="7247828B" w14:textId="77777777" w:rsidR="008930D2" w:rsidRDefault="008930D2">
            <w:pPr>
              <w:rPr>
                <w:rFonts w:ascii="Arial" w:hAnsi="Arial" w:cs="Arial"/>
                <w:sz w:val="24"/>
                <w:szCs w:val="24"/>
              </w:rPr>
            </w:pPr>
            <w:r>
              <w:rPr>
                <w:rFonts w:ascii="Arial" w:hAnsi="Arial" w:cs="Arial"/>
                <w:sz w:val="24"/>
                <w:szCs w:val="24"/>
              </w:rPr>
              <w:t>Payment Issues</w:t>
            </w:r>
          </w:p>
        </w:tc>
        <w:tc>
          <w:tcPr>
            <w:tcW w:w="1134" w:type="dxa"/>
          </w:tcPr>
          <w:p w14:paraId="3C67F287" w14:textId="77777777" w:rsidR="008930D2" w:rsidRDefault="008930D2" w:rsidP="000E17D6">
            <w:pPr>
              <w:jc w:val="center"/>
              <w:rPr>
                <w:rFonts w:ascii="Arial" w:hAnsi="Arial" w:cs="Arial"/>
                <w:sz w:val="24"/>
                <w:szCs w:val="24"/>
              </w:rPr>
            </w:pPr>
            <w:r>
              <w:rPr>
                <w:rFonts w:ascii="Arial" w:hAnsi="Arial" w:cs="Arial"/>
                <w:sz w:val="24"/>
                <w:szCs w:val="24"/>
              </w:rPr>
              <w:t>2</w:t>
            </w:r>
          </w:p>
        </w:tc>
      </w:tr>
      <w:tr w:rsidR="008930D2" w14:paraId="0E28110A" w14:textId="77777777" w:rsidTr="001A6D11">
        <w:tc>
          <w:tcPr>
            <w:tcW w:w="6374" w:type="dxa"/>
          </w:tcPr>
          <w:p w14:paraId="15869767" w14:textId="77777777" w:rsidR="008930D2" w:rsidRDefault="008930D2">
            <w:pPr>
              <w:rPr>
                <w:rFonts w:ascii="Arial" w:hAnsi="Arial" w:cs="Arial"/>
                <w:sz w:val="24"/>
                <w:szCs w:val="24"/>
              </w:rPr>
            </w:pPr>
            <w:r>
              <w:rPr>
                <w:rFonts w:ascii="Arial" w:hAnsi="Arial" w:cs="Arial"/>
                <w:sz w:val="24"/>
                <w:szCs w:val="24"/>
              </w:rPr>
              <w:t>Pension Credit</w:t>
            </w:r>
          </w:p>
        </w:tc>
        <w:tc>
          <w:tcPr>
            <w:tcW w:w="1134" w:type="dxa"/>
          </w:tcPr>
          <w:p w14:paraId="676AFAE5" w14:textId="77777777" w:rsidR="008930D2" w:rsidRDefault="008930D2" w:rsidP="000E17D6">
            <w:pPr>
              <w:jc w:val="center"/>
              <w:rPr>
                <w:rFonts w:ascii="Arial" w:hAnsi="Arial" w:cs="Arial"/>
                <w:sz w:val="24"/>
                <w:szCs w:val="24"/>
              </w:rPr>
            </w:pPr>
            <w:r>
              <w:rPr>
                <w:rFonts w:ascii="Arial" w:hAnsi="Arial" w:cs="Arial"/>
                <w:sz w:val="24"/>
                <w:szCs w:val="24"/>
              </w:rPr>
              <w:t>1</w:t>
            </w:r>
          </w:p>
        </w:tc>
      </w:tr>
      <w:tr w:rsidR="008930D2" w14:paraId="38D312E5" w14:textId="77777777" w:rsidTr="001A6D11">
        <w:tc>
          <w:tcPr>
            <w:tcW w:w="6374" w:type="dxa"/>
          </w:tcPr>
          <w:p w14:paraId="32226B0D" w14:textId="77777777" w:rsidR="008930D2" w:rsidRDefault="008930D2">
            <w:pPr>
              <w:rPr>
                <w:rFonts w:ascii="Arial" w:hAnsi="Arial" w:cs="Arial"/>
                <w:sz w:val="24"/>
                <w:szCs w:val="24"/>
              </w:rPr>
            </w:pPr>
            <w:r>
              <w:rPr>
                <w:rFonts w:ascii="Arial" w:hAnsi="Arial" w:cs="Arial"/>
                <w:sz w:val="24"/>
                <w:szCs w:val="24"/>
              </w:rPr>
              <w:t>Personal Independence Payment age rules</w:t>
            </w:r>
          </w:p>
        </w:tc>
        <w:tc>
          <w:tcPr>
            <w:tcW w:w="1134" w:type="dxa"/>
          </w:tcPr>
          <w:p w14:paraId="6D7190F6" w14:textId="77777777" w:rsidR="008930D2" w:rsidRDefault="008930D2" w:rsidP="000E17D6">
            <w:pPr>
              <w:jc w:val="center"/>
              <w:rPr>
                <w:rFonts w:ascii="Arial" w:hAnsi="Arial" w:cs="Arial"/>
                <w:sz w:val="24"/>
                <w:szCs w:val="24"/>
              </w:rPr>
            </w:pPr>
            <w:r>
              <w:rPr>
                <w:rFonts w:ascii="Arial" w:hAnsi="Arial" w:cs="Arial"/>
                <w:sz w:val="24"/>
                <w:szCs w:val="24"/>
              </w:rPr>
              <w:t>1</w:t>
            </w:r>
          </w:p>
        </w:tc>
      </w:tr>
      <w:tr w:rsidR="008930D2" w14:paraId="2D641129" w14:textId="77777777" w:rsidTr="001A6D11">
        <w:tc>
          <w:tcPr>
            <w:tcW w:w="6374" w:type="dxa"/>
          </w:tcPr>
          <w:p w14:paraId="1488B9D4" w14:textId="77777777" w:rsidR="008930D2" w:rsidRPr="000E17D6" w:rsidRDefault="008930D2" w:rsidP="000E17D6">
            <w:pPr>
              <w:rPr>
                <w:rFonts w:ascii="Arial" w:hAnsi="Arial" w:cs="Arial"/>
                <w:b/>
                <w:sz w:val="24"/>
                <w:szCs w:val="24"/>
              </w:rPr>
            </w:pPr>
            <w:r>
              <w:rPr>
                <w:rFonts w:ascii="Arial" w:hAnsi="Arial" w:cs="Arial"/>
                <w:sz w:val="24"/>
                <w:szCs w:val="24"/>
              </w:rPr>
              <w:t>Personal Independence Payment disability criteria</w:t>
            </w:r>
          </w:p>
        </w:tc>
        <w:tc>
          <w:tcPr>
            <w:tcW w:w="1134" w:type="dxa"/>
          </w:tcPr>
          <w:p w14:paraId="5C4DBD4D" w14:textId="5B19ACE1" w:rsidR="008930D2" w:rsidRDefault="008930D2" w:rsidP="005E49D1">
            <w:pPr>
              <w:jc w:val="center"/>
              <w:rPr>
                <w:rFonts w:ascii="Arial" w:hAnsi="Arial" w:cs="Arial"/>
                <w:sz w:val="24"/>
                <w:szCs w:val="24"/>
              </w:rPr>
            </w:pPr>
            <w:r>
              <w:rPr>
                <w:rFonts w:ascii="Arial" w:hAnsi="Arial" w:cs="Arial"/>
                <w:sz w:val="24"/>
                <w:szCs w:val="24"/>
              </w:rPr>
              <w:t>3</w:t>
            </w:r>
            <w:r w:rsidR="00862D24">
              <w:rPr>
                <w:rFonts w:ascii="Arial" w:hAnsi="Arial" w:cs="Arial"/>
                <w:sz w:val="24"/>
                <w:szCs w:val="24"/>
              </w:rPr>
              <w:t>7</w:t>
            </w:r>
          </w:p>
        </w:tc>
      </w:tr>
      <w:tr w:rsidR="008930D2" w14:paraId="71DE277F" w14:textId="77777777" w:rsidTr="001A6D11">
        <w:tc>
          <w:tcPr>
            <w:tcW w:w="6374" w:type="dxa"/>
          </w:tcPr>
          <w:p w14:paraId="72F311BB" w14:textId="77777777" w:rsidR="008930D2" w:rsidRDefault="008930D2">
            <w:pPr>
              <w:rPr>
                <w:rFonts w:ascii="Arial" w:hAnsi="Arial" w:cs="Arial"/>
                <w:sz w:val="24"/>
                <w:szCs w:val="24"/>
              </w:rPr>
            </w:pPr>
            <w:r>
              <w:rPr>
                <w:rFonts w:ascii="Arial" w:hAnsi="Arial" w:cs="Arial"/>
                <w:sz w:val="24"/>
                <w:szCs w:val="24"/>
              </w:rPr>
              <w:t>Personal Independence Payment residential care</w:t>
            </w:r>
          </w:p>
        </w:tc>
        <w:tc>
          <w:tcPr>
            <w:tcW w:w="1134" w:type="dxa"/>
          </w:tcPr>
          <w:p w14:paraId="71FC29D8" w14:textId="77777777" w:rsidR="008930D2" w:rsidRDefault="008930D2" w:rsidP="000E17D6">
            <w:pPr>
              <w:jc w:val="center"/>
              <w:rPr>
                <w:rFonts w:ascii="Arial" w:hAnsi="Arial" w:cs="Arial"/>
                <w:sz w:val="24"/>
                <w:szCs w:val="24"/>
              </w:rPr>
            </w:pPr>
            <w:r>
              <w:rPr>
                <w:rFonts w:ascii="Arial" w:hAnsi="Arial" w:cs="Arial"/>
                <w:sz w:val="24"/>
                <w:szCs w:val="24"/>
              </w:rPr>
              <w:t>1</w:t>
            </w:r>
          </w:p>
        </w:tc>
      </w:tr>
      <w:tr w:rsidR="008930D2" w14:paraId="215A6B8F" w14:textId="77777777" w:rsidTr="001A6D11">
        <w:tc>
          <w:tcPr>
            <w:tcW w:w="6374" w:type="dxa"/>
          </w:tcPr>
          <w:p w14:paraId="729E1FDB" w14:textId="77777777" w:rsidR="008930D2" w:rsidRDefault="008930D2">
            <w:pPr>
              <w:rPr>
                <w:rFonts w:ascii="Arial" w:hAnsi="Arial" w:cs="Arial"/>
                <w:sz w:val="24"/>
                <w:szCs w:val="24"/>
              </w:rPr>
            </w:pPr>
            <w:r>
              <w:rPr>
                <w:rFonts w:ascii="Arial" w:hAnsi="Arial" w:cs="Arial"/>
                <w:sz w:val="24"/>
                <w:szCs w:val="24"/>
              </w:rPr>
              <w:t>Right to Reside</w:t>
            </w:r>
          </w:p>
        </w:tc>
        <w:tc>
          <w:tcPr>
            <w:tcW w:w="1134" w:type="dxa"/>
          </w:tcPr>
          <w:p w14:paraId="373903FA" w14:textId="77777777" w:rsidR="008930D2" w:rsidRDefault="008930D2" w:rsidP="005E49D1">
            <w:pPr>
              <w:jc w:val="center"/>
              <w:rPr>
                <w:rFonts w:ascii="Arial" w:hAnsi="Arial" w:cs="Arial"/>
                <w:sz w:val="24"/>
                <w:szCs w:val="24"/>
              </w:rPr>
            </w:pPr>
            <w:r>
              <w:rPr>
                <w:rFonts w:ascii="Arial" w:hAnsi="Arial" w:cs="Arial"/>
                <w:sz w:val="24"/>
                <w:szCs w:val="24"/>
              </w:rPr>
              <w:t>2</w:t>
            </w:r>
          </w:p>
        </w:tc>
      </w:tr>
      <w:tr w:rsidR="008930D2" w14:paraId="25B89472" w14:textId="77777777" w:rsidTr="001A6D11">
        <w:tc>
          <w:tcPr>
            <w:tcW w:w="6374" w:type="dxa"/>
          </w:tcPr>
          <w:p w14:paraId="24DD0958" w14:textId="77777777" w:rsidR="008930D2" w:rsidRDefault="008930D2">
            <w:pPr>
              <w:rPr>
                <w:rFonts w:ascii="Arial" w:hAnsi="Arial" w:cs="Arial"/>
                <w:sz w:val="24"/>
                <w:szCs w:val="24"/>
              </w:rPr>
            </w:pPr>
            <w:r>
              <w:rPr>
                <w:rFonts w:ascii="Arial" w:hAnsi="Arial" w:cs="Arial"/>
                <w:sz w:val="24"/>
                <w:szCs w:val="24"/>
              </w:rPr>
              <w:t>Universal Credit sanctions</w:t>
            </w:r>
          </w:p>
        </w:tc>
        <w:tc>
          <w:tcPr>
            <w:tcW w:w="1134" w:type="dxa"/>
          </w:tcPr>
          <w:p w14:paraId="4EBC37E1" w14:textId="77777777" w:rsidR="008930D2" w:rsidRDefault="008930D2" w:rsidP="005E49D1">
            <w:pPr>
              <w:jc w:val="center"/>
              <w:rPr>
                <w:rFonts w:ascii="Arial" w:hAnsi="Arial" w:cs="Arial"/>
                <w:sz w:val="24"/>
                <w:szCs w:val="24"/>
              </w:rPr>
            </w:pPr>
            <w:r>
              <w:rPr>
                <w:rFonts w:ascii="Arial" w:hAnsi="Arial" w:cs="Arial"/>
                <w:sz w:val="24"/>
                <w:szCs w:val="24"/>
              </w:rPr>
              <w:t>1</w:t>
            </w:r>
          </w:p>
        </w:tc>
      </w:tr>
      <w:tr w:rsidR="00A61449" w14:paraId="0BD71351" w14:textId="77777777" w:rsidTr="001A6D11">
        <w:tc>
          <w:tcPr>
            <w:tcW w:w="6374" w:type="dxa"/>
          </w:tcPr>
          <w:p w14:paraId="13009B09" w14:textId="550CB702" w:rsidR="00A61449" w:rsidRPr="006A4E3E" w:rsidRDefault="00A61449">
            <w:pPr>
              <w:rPr>
                <w:rFonts w:ascii="Arial" w:hAnsi="Arial" w:cs="Arial"/>
                <w:b/>
                <w:sz w:val="24"/>
                <w:szCs w:val="24"/>
              </w:rPr>
            </w:pPr>
            <w:r w:rsidRPr="006A4E3E">
              <w:rPr>
                <w:rFonts w:ascii="Arial" w:hAnsi="Arial" w:cs="Arial"/>
                <w:b/>
                <w:sz w:val="24"/>
                <w:szCs w:val="24"/>
              </w:rPr>
              <w:t>Total</w:t>
            </w:r>
          </w:p>
        </w:tc>
        <w:tc>
          <w:tcPr>
            <w:tcW w:w="1134" w:type="dxa"/>
          </w:tcPr>
          <w:p w14:paraId="194875AC" w14:textId="340554F2" w:rsidR="00A61449" w:rsidRPr="006A4E3E" w:rsidRDefault="00862D24" w:rsidP="005E49D1">
            <w:pPr>
              <w:jc w:val="center"/>
              <w:rPr>
                <w:rFonts w:ascii="Arial" w:hAnsi="Arial" w:cs="Arial"/>
                <w:b/>
                <w:sz w:val="24"/>
                <w:szCs w:val="24"/>
              </w:rPr>
            </w:pPr>
            <w:r w:rsidRPr="006A4E3E">
              <w:rPr>
                <w:rFonts w:ascii="Arial" w:hAnsi="Arial" w:cs="Arial"/>
                <w:b/>
                <w:sz w:val="24"/>
                <w:szCs w:val="24"/>
              </w:rPr>
              <w:t>80</w:t>
            </w:r>
          </w:p>
        </w:tc>
      </w:tr>
    </w:tbl>
    <w:p w14:paraId="3808FEF0" w14:textId="77777777" w:rsidR="000E17D6" w:rsidRDefault="000E17D6">
      <w:pPr>
        <w:rPr>
          <w:rFonts w:ascii="Arial" w:hAnsi="Arial" w:cs="Arial"/>
          <w:sz w:val="24"/>
          <w:szCs w:val="24"/>
        </w:rPr>
      </w:pPr>
    </w:p>
    <w:p w14:paraId="1EF5FE01" w14:textId="77777777" w:rsidR="00921DB3" w:rsidRDefault="00921DB3" w:rsidP="00921DB3">
      <w:pPr>
        <w:rPr>
          <w:rFonts w:ascii="Arial" w:hAnsi="Arial" w:cs="Arial"/>
          <w:b/>
          <w:sz w:val="28"/>
          <w:szCs w:val="24"/>
        </w:rPr>
      </w:pPr>
      <w:r>
        <w:rPr>
          <w:rFonts w:ascii="Arial" w:hAnsi="Arial" w:cs="Arial"/>
          <w:b/>
          <w:sz w:val="28"/>
          <w:szCs w:val="24"/>
        </w:rPr>
        <w:t>Financial Gain</w:t>
      </w:r>
    </w:p>
    <w:p w14:paraId="5E1E315F" w14:textId="702D0952" w:rsidR="00921DB3" w:rsidRPr="00921DB3" w:rsidRDefault="00921DB3" w:rsidP="00921DB3">
      <w:pPr>
        <w:rPr>
          <w:rFonts w:ascii="Arial" w:hAnsi="Arial" w:cs="Arial"/>
          <w:sz w:val="24"/>
          <w:szCs w:val="24"/>
        </w:rPr>
      </w:pPr>
      <w:r>
        <w:rPr>
          <w:rFonts w:ascii="Arial" w:hAnsi="Arial" w:cs="Arial"/>
          <w:sz w:val="24"/>
          <w:szCs w:val="24"/>
        </w:rPr>
        <w:t xml:space="preserve">These figures reflect the known outcomes where </w:t>
      </w:r>
      <w:r w:rsidR="00B1736D">
        <w:rPr>
          <w:rFonts w:ascii="Arial" w:hAnsi="Arial" w:cs="Arial"/>
          <w:sz w:val="24"/>
          <w:szCs w:val="24"/>
        </w:rPr>
        <w:t xml:space="preserve">in-depth </w:t>
      </w:r>
      <w:r>
        <w:rPr>
          <w:rFonts w:ascii="Arial" w:hAnsi="Arial" w:cs="Arial"/>
          <w:sz w:val="24"/>
          <w:szCs w:val="24"/>
        </w:rPr>
        <w:t>support has been provided</w:t>
      </w:r>
      <w:r w:rsidR="009C14FD">
        <w:rPr>
          <w:rFonts w:ascii="Arial" w:hAnsi="Arial" w:cs="Arial"/>
          <w:sz w:val="24"/>
          <w:szCs w:val="24"/>
        </w:rPr>
        <w:t>, and the outcome notified</w:t>
      </w:r>
      <w:r>
        <w:rPr>
          <w:rFonts w:ascii="Arial" w:hAnsi="Arial" w:cs="Arial"/>
          <w:sz w:val="24"/>
          <w:szCs w:val="24"/>
        </w:rPr>
        <w:t>.</w:t>
      </w:r>
    </w:p>
    <w:p w14:paraId="4758EE84" w14:textId="7FBF24DB" w:rsidR="00921DB3" w:rsidRDefault="00921DB3" w:rsidP="00921DB3">
      <w:pPr>
        <w:pStyle w:val="ListParagraph"/>
        <w:numPr>
          <w:ilvl w:val="0"/>
          <w:numId w:val="1"/>
        </w:numPr>
        <w:rPr>
          <w:rFonts w:ascii="Arial" w:hAnsi="Arial" w:cs="Arial"/>
          <w:sz w:val="24"/>
          <w:szCs w:val="24"/>
        </w:rPr>
      </w:pPr>
      <w:r>
        <w:rPr>
          <w:rFonts w:ascii="Arial" w:hAnsi="Arial" w:cs="Arial"/>
          <w:sz w:val="24"/>
          <w:szCs w:val="24"/>
        </w:rPr>
        <w:t>Tota</w:t>
      </w:r>
      <w:r w:rsidR="007B714F">
        <w:rPr>
          <w:rFonts w:ascii="Arial" w:hAnsi="Arial" w:cs="Arial"/>
          <w:sz w:val="24"/>
          <w:szCs w:val="24"/>
        </w:rPr>
        <w:t>l weekly income gain = £1,523</w:t>
      </w:r>
    </w:p>
    <w:p w14:paraId="39C31219" w14:textId="10F7E4E1" w:rsidR="00921DB3" w:rsidRDefault="00921DB3" w:rsidP="00921DB3">
      <w:pPr>
        <w:pStyle w:val="ListParagraph"/>
        <w:numPr>
          <w:ilvl w:val="0"/>
          <w:numId w:val="1"/>
        </w:numPr>
        <w:rPr>
          <w:rFonts w:ascii="Arial" w:hAnsi="Arial" w:cs="Arial"/>
          <w:sz w:val="24"/>
          <w:szCs w:val="24"/>
        </w:rPr>
      </w:pPr>
      <w:r>
        <w:rPr>
          <w:rFonts w:ascii="Arial" w:hAnsi="Arial" w:cs="Arial"/>
          <w:sz w:val="24"/>
          <w:szCs w:val="24"/>
        </w:rPr>
        <w:t>Total</w:t>
      </w:r>
      <w:r w:rsidR="007B714F">
        <w:rPr>
          <w:rFonts w:ascii="Arial" w:hAnsi="Arial" w:cs="Arial"/>
          <w:sz w:val="24"/>
          <w:szCs w:val="24"/>
        </w:rPr>
        <w:t xml:space="preserve"> annual income gain = £79,147</w:t>
      </w:r>
    </w:p>
    <w:p w14:paraId="0B9A2240" w14:textId="5CE1DE55" w:rsidR="00921DB3" w:rsidRPr="00921DB3" w:rsidRDefault="00921DB3" w:rsidP="00921DB3">
      <w:pPr>
        <w:pStyle w:val="ListParagraph"/>
        <w:numPr>
          <w:ilvl w:val="0"/>
          <w:numId w:val="1"/>
        </w:numPr>
        <w:rPr>
          <w:rFonts w:ascii="Arial" w:hAnsi="Arial" w:cs="Arial"/>
          <w:sz w:val="24"/>
          <w:szCs w:val="24"/>
        </w:rPr>
      </w:pPr>
      <w:r>
        <w:rPr>
          <w:rFonts w:ascii="Arial" w:hAnsi="Arial" w:cs="Arial"/>
          <w:sz w:val="24"/>
          <w:szCs w:val="24"/>
        </w:rPr>
        <w:t>Total lump sum</w:t>
      </w:r>
      <w:r w:rsidR="007B714F">
        <w:rPr>
          <w:rFonts w:ascii="Arial" w:hAnsi="Arial" w:cs="Arial"/>
          <w:sz w:val="24"/>
          <w:szCs w:val="24"/>
        </w:rPr>
        <w:t xml:space="preserve"> payments / arrears = £58,891</w:t>
      </w:r>
    </w:p>
    <w:p w14:paraId="519DECCA" w14:textId="1C7942AC" w:rsidR="00921DB3" w:rsidRPr="00050AD3" w:rsidRDefault="00E10229" w:rsidP="001A6D11">
      <w:pPr>
        <w:rPr>
          <w:rFonts w:ascii="Arial" w:hAnsi="Arial" w:cs="Arial"/>
          <w:sz w:val="24"/>
          <w:szCs w:val="24"/>
        </w:rPr>
      </w:pPr>
      <w:r>
        <w:rPr>
          <w:rFonts w:ascii="Arial" w:hAnsi="Arial" w:cs="Arial"/>
          <w:sz w:val="24"/>
          <w:szCs w:val="24"/>
        </w:rPr>
        <w:t>4 f</w:t>
      </w:r>
      <w:r w:rsidR="00050AD3">
        <w:rPr>
          <w:rFonts w:ascii="Arial" w:hAnsi="Arial" w:cs="Arial"/>
          <w:sz w:val="24"/>
          <w:szCs w:val="24"/>
        </w:rPr>
        <w:t>urther decisions are outstanding</w:t>
      </w:r>
      <w:r>
        <w:rPr>
          <w:rFonts w:ascii="Arial" w:hAnsi="Arial" w:cs="Arial"/>
          <w:sz w:val="24"/>
          <w:szCs w:val="24"/>
        </w:rPr>
        <w:t xml:space="preserve"> and some outcomes are unknown</w:t>
      </w:r>
      <w:r w:rsidR="00050AD3">
        <w:rPr>
          <w:rFonts w:ascii="Arial" w:hAnsi="Arial" w:cs="Arial"/>
          <w:sz w:val="24"/>
          <w:szCs w:val="24"/>
        </w:rPr>
        <w:t xml:space="preserve">. </w:t>
      </w:r>
    </w:p>
    <w:p w14:paraId="3291D06F" w14:textId="77777777" w:rsidR="00921DB3" w:rsidRDefault="00921DB3" w:rsidP="001A6D11">
      <w:pPr>
        <w:rPr>
          <w:rFonts w:ascii="Arial" w:hAnsi="Arial" w:cs="Arial"/>
          <w:b/>
          <w:sz w:val="24"/>
          <w:szCs w:val="24"/>
        </w:rPr>
      </w:pPr>
    </w:p>
    <w:p w14:paraId="601C5383" w14:textId="77777777" w:rsidR="001A6D11" w:rsidRPr="009F2A50" w:rsidRDefault="001A6D11" w:rsidP="001A6D11">
      <w:pPr>
        <w:rPr>
          <w:rFonts w:ascii="Arial" w:hAnsi="Arial" w:cs="Arial"/>
          <w:b/>
          <w:sz w:val="28"/>
          <w:szCs w:val="24"/>
        </w:rPr>
      </w:pPr>
      <w:r w:rsidRPr="009F2A50">
        <w:rPr>
          <w:rFonts w:ascii="Arial" w:hAnsi="Arial" w:cs="Arial"/>
          <w:b/>
          <w:sz w:val="28"/>
          <w:szCs w:val="24"/>
        </w:rPr>
        <w:t>Training sessions</w:t>
      </w:r>
    </w:p>
    <w:p w14:paraId="39BCA5A7" w14:textId="77777777" w:rsidR="001A6D11" w:rsidRDefault="001A6D11" w:rsidP="001A6D11">
      <w:pPr>
        <w:pStyle w:val="ListParagraph"/>
        <w:numPr>
          <w:ilvl w:val="0"/>
          <w:numId w:val="1"/>
        </w:numPr>
        <w:rPr>
          <w:rFonts w:ascii="Arial" w:hAnsi="Arial" w:cs="Arial"/>
          <w:sz w:val="24"/>
          <w:szCs w:val="24"/>
        </w:rPr>
      </w:pPr>
      <w:r>
        <w:rPr>
          <w:rFonts w:ascii="Arial" w:hAnsi="Arial" w:cs="Arial"/>
          <w:sz w:val="24"/>
          <w:szCs w:val="24"/>
        </w:rPr>
        <w:t>Challenging Decisions</w:t>
      </w:r>
    </w:p>
    <w:p w14:paraId="152BC213" w14:textId="77777777" w:rsidR="001A6D11" w:rsidRPr="000E17D6" w:rsidRDefault="001A6D11" w:rsidP="005E49D1">
      <w:pPr>
        <w:ind w:left="720"/>
        <w:rPr>
          <w:rFonts w:ascii="Arial" w:hAnsi="Arial" w:cs="Arial"/>
          <w:sz w:val="24"/>
          <w:szCs w:val="24"/>
        </w:rPr>
      </w:pPr>
      <w:r>
        <w:rPr>
          <w:rFonts w:ascii="Arial" w:hAnsi="Arial" w:cs="Arial"/>
          <w:sz w:val="24"/>
          <w:szCs w:val="24"/>
        </w:rPr>
        <w:t>Delivered on 18</w:t>
      </w:r>
      <w:r w:rsidRPr="000E17D6">
        <w:rPr>
          <w:rFonts w:ascii="Arial" w:hAnsi="Arial" w:cs="Arial"/>
          <w:sz w:val="24"/>
          <w:szCs w:val="24"/>
          <w:vertAlign w:val="superscript"/>
        </w:rPr>
        <w:t>th</w:t>
      </w:r>
      <w:r>
        <w:rPr>
          <w:rFonts w:ascii="Arial" w:hAnsi="Arial" w:cs="Arial"/>
          <w:sz w:val="24"/>
          <w:szCs w:val="24"/>
        </w:rPr>
        <w:t xml:space="preserve"> March 2016</w:t>
      </w:r>
    </w:p>
    <w:p w14:paraId="4AC1148A" w14:textId="77777777" w:rsidR="001A6D11" w:rsidRDefault="001A6D11" w:rsidP="001A6D11">
      <w:pPr>
        <w:pStyle w:val="ListParagraph"/>
        <w:numPr>
          <w:ilvl w:val="0"/>
          <w:numId w:val="1"/>
        </w:numPr>
        <w:rPr>
          <w:rFonts w:ascii="Arial" w:hAnsi="Arial" w:cs="Arial"/>
          <w:sz w:val="24"/>
          <w:szCs w:val="24"/>
        </w:rPr>
      </w:pPr>
      <w:r>
        <w:rPr>
          <w:rFonts w:ascii="Arial" w:hAnsi="Arial" w:cs="Arial"/>
          <w:sz w:val="24"/>
          <w:szCs w:val="24"/>
        </w:rPr>
        <w:t>Benefits Toolkit</w:t>
      </w:r>
    </w:p>
    <w:p w14:paraId="6C3DD077" w14:textId="77777777" w:rsidR="001A6D11" w:rsidRDefault="001A6D11" w:rsidP="005E49D1">
      <w:pPr>
        <w:ind w:left="720"/>
        <w:rPr>
          <w:rFonts w:ascii="Arial" w:hAnsi="Arial" w:cs="Arial"/>
          <w:sz w:val="24"/>
          <w:szCs w:val="24"/>
        </w:rPr>
      </w:pPr>
      <w:r>
        <w:rPr>
          <w:rFonts w:ascii="Arial" w:hAnsi="Arial" w:cs="Arial"/>
          <w:sz w:val="24"/>
          <w:szCs w:val="24"/>
        </w:rPr>
        <w:t>Delivered on 14</w:t>
      </w:r>
      <w:r w:rsidRPr="005E49D1">
        <w:rPr>
          <w:rFonts w:ascii="Arial" w:hAnsi="Arial" w:cs="Arial"/>
          <w:sz w:val="24"/>
          <w:szCs w:val="24"/>
          <w:vertAlign w:val="superscript"/>
        </w:rPr>
        <w:t>th</w:t>
      </w:r>
      <w:r>
        <w:rPr>
          <w:rFonts w:ascii="Arial" w:hAnsi="Arial" w:cs="Arial"/>
          <w:sz w:val="24"/>
          <w:szCs w:val="24"/>
        </w:rPr>
        <w:t xml:space="preserve"> June 2016</w:t>
      </w:r>
    </w:p>
    <w:p w14:paraId="174AA306" w14:textId="255CDBE6" w:rsidR="00CE0FCE" w:rsidRDefault="001A6D11">
      <w:pPr>
        <w:rPr>
          <w:rFonts w:ascii="Arial" w:hAnsi="Arial" w:cs="Arial"/>
          <w:b/>
          <w:sz w:val="24"/>
          <w:szCs w:val="24"/>
        </w:rPr>
      </w:pPr>
      <w:r>
        <w:rPr>
          <w:rFonts w:ascii="Arial" w:hAnsi="Arial" w:cs="Arial"/>
          <w:sz w:val="24"/>
          <w:szCs w:val="24"/>
        </w:rPr>
        <w:t>The training was provided to 30 front-line workers in total. The courses were well received with positive feedback.</w:t>
      </w:r>
      <w:r w:rsidR="00CE0FCE">
        <w:rPr>
          <w:rFonts w:ascii="Arial" w:hAnsi="Arial" w:cs="Arial"/>
          <w:b/>
          <w:sz w:val="24"/>
          <w:szCs w:val="24"/>
        </w:rPr>
        <w:br w:type="page"/>
      </w:r>
    </w:p>
    <w:p w14:paraId="4AE04B5F" w14:textId="0CAB00CE" w:rsidR="001A6D11" w:rsidRPr="009F2A50" w:rsidRDefault="001A6D11" w:rsidP="001A6D11">
      <w:pPr>
        <w:rPr>
          <w:rFonts w:ascii="Arial" w:hAnsi="Arial" w:cs="Arial"/>
          <w:b/>
          <w:sz w:val="28"/>
          <w:szCs w:val="24"/>
        </w:rPr>
      </w:pPr>
      <w:r w:rsidRPr="009F2A50">
        <w:rPr>
          <w:rFonts w:ascii="Arial" w:hAnsi="Arial" w:cs="Arial"/>
          <w:b/>
          <w:sz w:val="28"/>
          <w:szCs w:val="24"/>
        </w:rPr>
        <w:lastRenderedPageBreak/>
        <w:t>New organisations accessing the project</w:t>
      </w:r>
    </w:p>
    <w:p w14:paraId="4F48BBBB" w14:textId="11F0A221" w:rsidR="009224CA" w:rsidRPr="009224CA" w:rsidRDefault="009224CA" w:rsidP="009224CA">
      <w:pPr>
        <w:rPr>
          <w:rFonts w:ascii="Arial" w:hAnsi="Arial" w:cs="Arial"/>
          <w:sz w:val="24"/>
        </w:rPr>
      </w:pPr>
      <w:r w:rsidRPr="009224CA">
        <w:rPr>
          <w:rFonts w:ascii="Arial" w:hAnsi="Arial" w:cs="Arial"/>
          <w:sz w:val="24"/>
        </w:rPr>
        <w:t>Information mailings and personal introductions were made to organisations across York, using both the Welfare Benefits Unit mailing list and voluntary sector online searches (</w:t>
      </w:r>
      <w:proofErr w:type="spellStart"/>
      <w:r w:rsidRPr="009224CA">
        <w:rPr>
          <w:rFonts w:ascii="Arial" w:hAnsi="Arial" w:cs="Arial"/>
          <w:sz w:val="24"/>
        </w:rPr>
        <w:t>eg</w:t>
      </w:r>
      <w:proofErr w:type="spellEnd"/>
      <w:r w:rsidRPr="009224CA">
        <w:rPr>
          <w:rFonts w:ascii="Arial" w:hAnsi="Arial" w:cs="Arial"/>
          <w:sz w:val="24"/>
        </w:rPr>
        <w:t>. Charity Commission listin</w:t>
      </w:r>
      <w:r w:rsidR="006A4E3E">
        <w:rPr>
          <w:rFonts w:ascii="Arial" w:hAnsi="Arial" w:cs="Arial"/>
          <w:sz w:val="24"/>
        </w:rPr>
        <w:t>gs) and voluntary sector meetings.</w:t>
      </w:r>
      <w:r w:rsidRPr="009224CA">
        <w:rPr>
          <w:rFonts w:ascii="Arial" w:hAnsi="Arial" w:cs="Arial"/>
          <w:sz w:val="24"/>
        </w:rPr>
        <w:t xml:space="preserve"> Eighteen organisations used the BATS service in total. Of these, 11 were new to the WBU appeals service. From the 18 organisations, workers across a number of projects or York districts were supported (</w:t>
      </w:r>
      <w:proofErr w:type="spellStart"/>
      <w:r w:rsidRPr="009224CA">
        <w:rPr>
          <w:rFonts w:ascii="Arial" w:hAnsi="Arial" w:cs="Arial"/>
          <w:sz w:val="24"/>
        </w:rPr>
        <w:t>eg</w:t>
      </w:r>
      <w:proofErr w:type="spellEnd"/>
      <w:r w:rsidRPr="009224CA">
        <w:rPr>
          <w:rFonts w:ascii="Arial" w:hAnsi="Arial" w:cs="Arial"/>
          <w:sz w:val="24"/>
        </w:rPr>
        <w:t xml:space="preserve">. York CAB and the CAB GP outreach project; teams from three areas of the Community Mental Health Team). These organisations not only accessed the BATS project but gained further awareness of the support available from the Welfare Benefits Unit, increasing benefit advice provision available to York residents. </w:t>
      </w:r>
    </w:p>
    <w:p w14:paraId="52ECCD08" w14:textId="2E722570" w:rsidR="001A6D11" w:rsidRPr="009F2A50" w:rsidRDefault="001A6D11" w:rsidP="00C15957">
      <w:pPr>
        <w:spacing w:before="240"/>
        <w:rPr>
          <w:rFonts w:ascii="Arial" w:hAnsi="Arial" w:cs="Arial"/>
          <w:b/>
          <w:sz w:val="28"/>
          <w:szCs w:val="24"/>
        </w:rPr>
      </w:pPr>
      <w:r w:rsidRPr="009F2A50">
        <w:rPr>
          <w:rFonts w:ascii="Arial" w:hAnsi="Arial" w:cs="Arial"/>
          <w:b/>
          <w:sz w:val="28"/>
          <w:szCs w:val="24"/>
        </w:rPr>
        <w:t xml:space="preserve"> Appeals Pack</w:t>
      </w:r>
    </w:p>
    <w:p w14:paraId="61828033" w14:textId="77777777" w:rsidR="001A6D11" w:rsidRDefault="001A6D11" w:rsidP="001A6D11">
      <w:pPr>
        <w:rPr>
          <w:rFonts w:ascii="Arial" w:hAnsi="Arial" w:cs="Arial"/>
          <w:sz w:val="24"/>
          <w:szCs w:val="24"/>
        </w:rPr>
      </w:pPr>
      <w:r>
        <w:rPr>
          <w:rFonts w:ascii="Arial" w:hAnsi="Arial" w:cs="Arial"/>
          <w:sz w:val="24"/>
          <w:szCs w:val="24"/>
        </w:rPr>
        <w:t>A Challenging Decisions ‘toolkit’ was produced and distributed, and available on the WBU website. The pack covers the rules and procedures for challenging decisions and appeals and includes practical information and templates for requesting medical evidence and writing submissions.</w:t>
      </w:r>
    </w:p>
    <w:p w14:paraId="58DE2380" w14:textId="77777777" w:rsidR="00C0215B" w:rsidRPr="005E49D1" w:rsidRDefault="00C0215B">
      <w:pPr>
        <w:rPr>
          <w:rFonts w:ascii="Arial" w:hAnsi="Arial" w:cs="Arial"/>
          <w:sz w:val="24"/>
          <w:szCs w:val="24"/>
        </w:rPr>
      </w:pPr>
    </w:p>
    <w:p w14:paraId="5D04D298" w14:textId="77777777" w:rsidR="00A465FD" w:rsidRDefault="00A465FD">
      <w:pPr>
        <w:rPr>
          <w:rFonts w:ascii="Arial" w:hAnsi="Arial" w:cs="Arial"/>
          <w:b/>
          <w:sz w:val="28"/>
          <w:szCs w:val="24"/>
        </w:rPr>
      </w:pPr>
      <w:r w:rsidRPr="00C46BB4">
        <w:rPr>
          <w:rFonts w:ascii="Arial" w:hAnsi="Arial" w:cs="Arial"/>
          <w:b/>
          <w:sz w:val="28"/>
          <w:szCs w:val="24"/>
        </w:rPr>
        <w:t>Case studies and financial inclusion outcome</w:t>
      </w:r>
    </w:p>
    <w:p w14:paraId="1D0FFD0B" w14:textId="77777777" w:rsidR="008436A0" w:rsidRDefault="006A2EF4">
      <w:pPr>
        <w:rPr>
          <w:rFonts w:ascii="Arial" w:hAnsi="Arial" w:cs="Arial"/>
          <w:b/>
          <w:sz w:val="24"/>
          <w:szCs w:val="24"/>
        </w:rPr>
      </w:pPr>
      <w:r>
        <w:rPr>
          <w:rFonts w:ascii="Arial" w:hAnsi="Arial" w:cs="Arial"/>
          <w:b/>
          <w:sz w:val="24"/>
          <w:szCs w:val="24"/>
        </w:rPr>
        <w:t>Case study 1</w:t>
      </w:r>
    </w:p>
    <w:p w14:paraId="012D479B" w14:textId="77777777" w:rsidR="00FF494A" w:rsidRDefault="006A2EF4">
      <w:pPr>
        <w:rPr>
          <w:rFonts w:ascii="Arial" w:hAnsi="Arial" w:cs="Arial"/>
          <w:sz w:val="24"/>
          <w:szCs w:val="24"/>
        </w:rPr>
      </w:pPr>
      <w:r>
        <w:rPr>
          <w:rFonts w:ascii="Arial" w:hAnsi="Arial" w:cs="Arial"/>
          <w:sz w:val="24"/>
          <w:szCs w:val="24"/>
        </w:rPr>
        <w:t xml:space="preserve">The case was referred by the </w:t>
      </w:r>
      <w:proofErr w:type="spellStart"/>
      <w:r>
        <w:rPr>
          <w:rFonts w:ascii="Arial" w:hAnsi="Arial" w:cs="Arial"/>
          <w:sz w:val="24"/>
          <w:szCs w:val="24"/>
        </w:rPr>
        <w:t>Peasho</w:t>
      </w:r>
      <w:r w:rsidR="0048730F">
        <w:rPr>
          <w:rFonts w:ascii="Arial" w:hAnsi="Arial" w:cs="Arial"/>
          <w:sz w:val="24"/>
          <w:szCs w:val="24"/>
        </w:rPr>
        <w:t>lme</w:t>
      </w:r>
      <w:proofErr w:type="spellEnd"/>
      <w:r w:rsidR="0048730F">
        <w:rPr>
          <w:rFonts w:ascii="Arial" w:hAnsi="Arial" w:cs="Arial"/>
          <w:sz w:val="24"/>
          <w:szCs w:val="24"/>
        </w:rPr>
        <w:t xml:space="preserve"> Charity. Their client suffers severe limitations due</w:t>
      </w:r>
      <w:r w:rsidR="00FF494A">
        <w:rPr>
          <w:rFonts w:ascii="Arial" w:hAnsi="Arial" w:cs="Arial"/>
          <w:sz w:val="24"/>
          <w:szCs w:val="24"/>
        </w:rPr>
        <w:t xml:space="preserve"> to the impact of </w:t>
      </w:r>
      <w:r w:rsidR="0048730F">
        <w:rPr>
          <w:rFonts w:ascii="Arial" w:hAnsi="Arial" w:cs="Arial"/>
          <w:sz w:val="24"/>
          <w:szCs w:val="24"/>
        </w:rPr>
        <w:t>post-traumatic stress disorder</w:t>
      </w:r>
      <w:r w:rsidR="002668EA">
        <w:rPr>
          <w:rFonts w:ascii="Arial" w:hAnsi="Arial" w:cs="Arial"/>
          <w:sz w:val="24"/>
          <w:szCs w:val="24"/>
        </w:rPr>
        <w:t>, anxiety and depression</w:t>
      </w:r>
      <w:r w:rsidR="00FF494A">
        <w:rPr>
          <w:rFonts w:ascii="Arial" w:hAnsi="Arial" w:cs="Arial"/>
          <w:sz w:val="24"/>
          <w:szCs w:val="24"/>
        </w:rPr>
        <w:t xml:space="preserve"> following serious domestic assault</w:t>
      </w:r>
      <w:r w:rsidR="0048730F">
        <w:rPr>
          <w:rFonts w:ascii="Arial" w:hAnsi="Arial" w:cs="Arial"/>
          <w:sz w:val="24"/>
          <w:szCs w:val="24"/>
        </w:rPr>
        <w:t>. She is too scared to undress completely, and unable to bathe or change her underwear unless her mother is there for support. She also needs to be prompted</w:t>
      </w:r>
      <w:r w:rsidR="002668EA">
        <w:rPr>
          <w:rFonts w:ascii="Arial" w:hAnsi="Arial" w:cs="Arial"/>
          <w:sz w:val="24"/>
          <w:szCs w:val="24"/>
        </w:rPr>
        <w:t xml:space="preserve"> every day to</w:t>
      </w:r>
      <w:r w:rsidR="0048730F">
        <w:rPr>
          <w:rFonts w:ascii="Arial" w:hAnsi="Arial" w:cs="Arial"/>
          <w:sz w:val="24"/>
          <w:szCs w:val="24"/>
        </w:rPr>
        <w:t xml:space="preserve"> eat and </w:t>
      </w:r>
      <w:r w:rsidR="00FF494A">
        <w:rPr>
          <w:rFonts w:ascii="Arial" w:hAnsi="Arial" w:cs="Arial"/>
          <w:sz w:val="24"/>
          <w:szCs w:val="24"/>
        </w:rPr>
        <w:t xml:space="preserve">needs </w:t>
      </w:r>
      <w:r w:rsidR="0048730F">
        <w:rPr>
          <w:rFonts w:ascii="Arial" w:hAnsi="Arial" w:cs="Arial"/>
          <w:sz w:val="24"/>
          <w:szCs w:val="24"/>
        </w:rPr>
        <w:t>help to manage her money</w:t>
      </w:r>
      <w:r w:rsidR="002668EA">
        <w:rPr>
          <w:rFonts w:ascii="Arial" w:hAnsi="Arial" w:cs="Arial"/>
          <w:sz w:val="24"/>
          <w:szCs w:val="24"/>
        </w:rPr>
        <w:t>, wash and change her clothes</w:t>
      </w:r>
      <w:r w:rsidR="0048730F">
        <w:rPr>
          <w:rFonts w:ascii="Arial" w:hAnsi="Arial" w:cs="Arial"/>
          <w:sz w:val="24"/>
          <w:szCs w:val="24"/>
        </w:rPr>
        <w:t>. She is very fearful of other people and unable to interact and unable to go out without her mother or support worker.</w:t>
      </w:r>
      <w:r w:rsidR="002668EA">
        <w:rPr>
          <w:rFonts w:ascii="Arial" w:hAnsi="Arial" w:cs="Arial"/>
          <w:sz w:val="24"/>
          <w:szCs w:val="24"/>
        </w:rPr>
        <w:t xml:space="preserve"> Her dependence on her mother has a negative impact on her mental health and self-esteem. </w:t>
      </w:r>
      <w:r w:rsidR="0048730F">
        <w:rPr>
          <w:rFonts w:ascii="Arial" w:hAnsi="Arial" w:cs="Arial"/>
          <w:sz w:val="24"/>
          <w:szCs w:val="24"/>
        </w:rPr>
        <w:t xml:space="preserve"> </w:t>
      </w:r>
      <w:r w:rsidR="003E0F11">
        <w:rPr>
          <w:rFonts w:ascii="Arial" w:hAnsi="Arial" w:cs="Arial"/>
          <w:sz w:val="24"/>
          <w:szCs w:val="24"/>
        </w:rPr>
        <w:t>Her mother has to come over to take her to her daily visit to the local chemist</w:t>
      </w:r>
      <w:r w:rsidR="00AA54BC">
        <w:rPr>
          <w:rFonts w:ascii="Arial" w:hAnsi="Arial" w:cs="Arial"/>
          <w:sz w:val="24"/>
          <w:szCs w:val="24"/>
        </w:rPr>
        <w:t>, and frequently has to meet her inside and accompany her to the car</w:t>
      </w:r>
      <w:r w:rsidR="003E0F11">
        <w:rPr>
          <w:rFonts w:ascii="Arial" w:hAnsi="Arial" w:cs="Arial"/>
          <w:sz w:val="24"/>
          <w:szCs w:val="24"/>
        </w:rPr>
        <w:t xml:space="preserve">. At the moment, she and her support worker are working towards building up her confidence to be able </w:t>
      </w:r>
      <w:r w:rsidR="00FF494A">
        <w:rPr>
          <w:rFonts w:ascii="Arial" w:hAnsi="Arial" w:cs="Arial"/>
          <w:sz w:val="24"/>
          <w:szCs w:val="24"/>
        </w:rPr>
        <w:t>get to the chemist</w:t>
      </w:r>
      <w:r w:rsidR="003E0F11">
        <w:rPr>
          <w:rFonts w:ascii="Arial" w:hAnsi="Arial" w:cs="Arial"/>
          <w:sz w:val="24"/>
          <w:szCs w:val="24"/>
        </w:rPr>
        <w:t xml:space="preserve"> on her own.</w:t>
      </w:r>
    </w:p>
    <w:p w14:paraId="096B5116" w14:textId="0C7F7DF2" w:rsidR="006A2EF4" w:rsidRDefault="0048730F">
      <w:pPr>
        <w:rPr>
          <w:rFonts w:ascii="Arial" w:hAnsi="Arial" w:cs="Arial"/>
          <w:sz w:val="24"/>
          <w:szCs w:val="24"/>
        </w:rPr>
      </w:pPr>
      <w:r>
        <w:rPr>
          <w:rFonts w:ascii="Arial" w:hAnsi="Arial" w:cs="Arial"/>
          <w:sz w:val="24"/>
          <w:szCs w:val="24"/>
        </w:rPr>
        <w:t xml:space="preserve">Her application for </w:t>
      </w:r>
      <w:r w:rsidR="00C33031">
        <w:rPr>
          <w:rFonts w:ascii="Arial" w:hAnsi="Arial" w:cs="Arial"/>
          <w:sz w:val="24"/>
          <w:szCs w:val="24"/>
        </w:rPr>
        <w:t>P</w:t>
      </w:r>
      <w:r>
        <w:rPr>
          <w:rFonts w:ascii="Arial" w:hAnsi="Arial" w:cs="Arial"/>
          <w:sz w:val="24"/>
          <w:szCs w:val="24"/>
        </w:rPr>
        <w:t xml:space="preserve">ersonal </w:t>
      </w:r>
      <w:r w:rsidR="00C33031">
        <w:rPr>
          <w:rFonts w:ascii="Arial" w:hAnsi="Arial" w:cs="Arial"/>
          <w:sz w:val="24"/>
          <w:szCs w:val="24"/>
        </w:rPr>
        <w:t>I</w:t>
      </w:r>
      <w:r>
        <w:rPr>
          <w:rFonts w:ascii="Arial" w:hAnsi="Arial" w:cs="Arial"/>
          <w:sz w:val="24"/>
          <w:szCs w:val="24"/>
        </w:rPr>
        <w:t xml:space="preserve">ndependence </w:t>
      </w:r>
      <w:r w:rsidR="00C33031">
        <w:rPr>
          <w:rFonts w:ascii="Arial" w:hAnsi="Arial" w:cs="Arial"/>
          <w:sz w:val="24"/>
          <w:szCs w:val="24"/>
        </w:rPr>
        <w:t>P</w:t>
      </w:r>
      <w:r>
        <w:rPr>
          <w:rFonts w:ascii="Arial" w:hAnsi="Arial" w:cs="Arial"/>
          <w:sz w:val="24"/>
          <w:szCs w:val="24"/>
        </w:rPr>
        <w:t>ayment (PIP) was refused. We provided a</w:t>
      </w:r>
      <w:r w:rsidR="00FF494A">
        <w:rPr>
          <w:rFonts w:ascii="Arial" w:hAnsi="Arial" w:cs="Arial"/>
          <w:sz w:val="24"/>
          <w:szCs w:val="24"/>
        </w:rPr>
        <w:t xml:space="preserve"> written</w:t>
      </w:r>
      <w:r>
        <w:rPr>
          <w:rFonts w:ascii="Arial" w:hAnsi="Arial" w:cs="Arial"/>
          <w:sz w:val="24"/>
          <w:szCs w:val="24"/>
        </w:rPr>
        <w:t xml:space="preserve"> submission and represented the client at the appeal hearing. All of our arguments were accepted and the client was awarded the enhanced rate of both the daily living and mobility component of </w:t>
      </w:r>
      <w:r w:rsidR="00756F1A">
        <w:rPr>
          <w:rFonts w:ascii="Arial" w:hAnsi="Arial" w:cs="Arial"/>
          <w:sz w:val="24"/>
          <w:szCs w:val="24"/>
        </w:rPr>
        <w:t xml:space="preserve">PIP, an income </w:t>
      </w:r>
      <w:r w:rsidR="00B26AC3">
        <w:rPr>
          <w:rFonts w:ascii="Arial" w:hAnsi="Arial" w:cs="Arial"/>
          <w:sz w:val="24"/>
          <w:szCs w:val="24"/>
        </w:rPr>
        <w:t>increase of £139.75 per week plus</w:t>
      </w:r>
      <w:r w:rsidR="007B714F">
        <w:rPr>
          <w:rFonts w:ascii="Arial" w:hAnsi="Arial" w:cs="Arial"/>
          <w:sz w:val="24"/>
          <w:szCs w:val="24"/>
        </w:rPr>
        <w:t xml:space="preserve"> an arrears payment of £4,892</w:t>
      </w:r>
      <w:r w:rsidR="00756F1A">
        <w:rPr>
          <w:rFonts w:ascii="Arial" w:hAnsi="Arial" w:cs="Arial"/>
          <w:sz w:val="24"/>
          <w:szCs w:val="24"/>
        </w:rPr>
        <w:t xml:space="preserve">. The client is dependent on income-related </w:t>
      </w:r>
      <w:r w:rsidR="00C33031">
        <w:rPr>
          <w:rFonts w:ascii="Arial" w:hAnsi="Arial" w:cs="Arial"/>
          <w:sz w:val="24"/>
          <w:szCs w:val="24"/>
        </w:rPr>
        <w:t>E</w:t>
      </w:r>
      <w:r w:rsidR="00756F1A">
        <w:rPr>
          <w:rFonts w:ascii="Arial" w:hAnsi="Arial" w:cs="Arial"/>
          <w:sz w:val="24"/>
          <w:szCs w:val="24"/>
        </w:rPr>
        <w:t xml:space="preserve">mployment and </w:t>
      </w:r>
      <w:r w:rsidR="00C33031">
        <w:rPr>
          <w:rFonts w:ascii="Arial" w:hAnsi="Arial" w:cs="Arial"/>
          <w:sz w:val="24"/>
          <w:szCs w:val="24"/>
        </w:rPr>
        <w:t>S</w:t>
      </w:r>
      <w:r w:rsidR="00756F1A">
        <w:rPr>
          <w:rFonts w:ascii="Arial" w:hAnsi="Arial" w:cs="Arial"/>
          <w:sz w:val="24"/>
          <w:szCs w:val="24"/>
        </w:rPr>
        <w:t xml:space="preserve">upport </w:t>
      </w:r>
      <w:r w:rsidR="00C33031">
        <w:rPr>
          <w:rFonts w:ascii="Arial" w:hAnsi="Arial" w:cs="Arial"/>
          <w:sz w:val="24"/>
          <w:szCs w:val="24"/>
        </w:rPr>
        <w:t>A</w:t>
      </w:r>
      <w:r w:rsidR="00756F1A">
        <w:rPr>
          <w:rFonts w:ascii="Arial" w:hAnsi="Arial" w:cs="Arial"/>
          <w:sz w:val="24"/>
          <w:szCs w:val="24"/>
        </w:rPr>
        <w:t>llowance (ESA), and the award of PIP brings with it a £61.85 per week increase in the rate of ESA.</w:t>
      </w:r>
    </w:p>
    <w:p w14:paraId="75127468" w14:textId="6113E248" w:rsidR="003E0F11" w:rsidRDefault="00756F1A">
      <w:pPr>
        <w:rPr>
          <w:rFonts w:ascii="Arial" w:hAnsi="Arial" w:cs="Arial"/>
          <w:sz w:val="24"/>
          <w:szCs w:val="24"/>
        </w:rPr>
      </w:pPr>
      <w:r>
        <w:rPr>
          <w:rFonts w:ascii="Arial" w:hAnsi="Arial" w:cs="Arial"/>
          <w:sz w:val="24"/>
          <w:szCs w:val="24"/>
        </w:rPr>
        <w:t>Prior to this</w:t>
      </w:r>
      <w:r w:rsidR="0073556F">
        <w:rPr>
          <w:rFonts w:ascii="Arial" w:hAnsi="Arial" w:cs="Arial"/>
          <w:sz w:val="24"/>
          <w:szCs w:val="24"/>
        </w:rPr>
        <w:t xml:space="preserve">, the claimant had significant rent arrears, including arrears accrued over the past 3 years due to the </w:t>
      </w:r>
      <w:r w:rsidR="00C33031">
        <w:rPr>
          <w:rFonts w:ascii="Arial" w:hAnsi="Arial" w:cs="Arial"/>
          <w:sz w:val="24"/>
          <w:szCs w:val="24"/>
        </w:rPr>
        <w:t>H</w:t>
      </w:r>
      <w:r w:rsidR="0073556F">
        <w:rPr>
          <w:rFonts w:ascii="Arial" w:hAnsi="Arial" w:cs="Arial"/>
          <w:sz w:val="24"/>
          <w:szCs w:val="24"/>
        </w:rPr>
        <w:t xml:space="preserve">ousing </w:t>
      </w:r>
      <w:r w:rsidR="00C33031">
        <w:rPr>
          <w:rFonts w:ascii="Arial" w:hAnsi="Arial" w:cs="Arial"/>
          <w:sz w:val="24"/>
          <w:szCs w:val="24"/>
        </w:rPr>
        <w:t>B</w:t>
      </w:r>
      <w:r w:rsidR="0073556F">
        <w:rPr>
          <w:rFonts w:ascii="Arial" w:hAnsi="Arial" w:cs="Arial"/>
          <w:sz w:val="24"/>
          <w:szCs w:val="24"/>
        </w:rPr>
        <w:t>enefit under-occupation charge (bedroom tax)</w:t>
      </w:r>
      <w:r w:rsidR="006D7B7E">
        <w:rPr>
          <w:rFonts w:ascii="Arial" w:hAnsi="Arial" w:cs="Arial"/>
          <w:sz w:val="24"/>
          <w:szCs w:val="24"/>
        </w:rPr>
        <w:t xml:space="preserve"> and was at risk of losing her home</w:t>
      </w:r>
      <w:r w:rsidR="00C0215B">
        <w:rPr>
          <w:rFonts w:ascii="Arial" w:hAnsi="Arial" w:cs="Arial"/>
          <w:sz w:val="24"/>
          <w:szCs w:val="24"/>
        </w:rPr>
        <w:t xml:space="preserve"> due to rent arrears</w:t>
      </w:r>
      <w:r w:rsidR="006D7B7E">
        <w:rPr>
          <w:rFonts w:ascii="Arial" w:hAnsi="Arial" w:cs="Arial"/>
          <w:sz w:val="24"/>
          <w:szCs w:val="24"/>
        </w:rPr>
        <w:t>.</w:t>
      </w:r>
      <w:r w:rsidR="0073556F">
        <w:rPr>
          <w:rFonts w:ascii="Arial" w:hAnsi="Arial" w:cs="Arial"/>
          <w:sz w:val="24"/>
          <w:szCs w:val="24"/>
        </w:rPr>
        <w:t xml:space="preserve"> She also had arrears of </w:t>
      </w:r>
      <w:r w:rsidR="00C33031">
        <w:rPr>
          <w:rFonts w:ascii="Arial" w:hAnsi="Arial" w:cs="Arial"/>
          <w:sz w:val="24"/>
          <w:szCs w:val="24"/>
        </w:rPr>
        <w:t>C</w:t>
      </w:r>
      <w:r w:rsidR="0073556F">
        <w:rPr>
          <w:rFonts w:ascii="Arial" w:hAnsi="Arial" w:cs="Arial"/>
          <w:sz w:val="24"/>
          <w:szCs w:val="24"/>
        </w:rPr>
        <w:t xml:space="preserve">ouncil </w:t>
      </w:r>
      <w:r w:rsidR="00C33031">
        <w:rPr>
          <w:rFonts w:ascii="Arial" w:hAnsi="Arial" w:cs="Arial"/>
          <w:sz w:val="24"/>
          <w:szCs w:val="24"/>
        </w:rPr>
        <w:t>T</w:t>
      </w:r>
      <w:r w:rsidR="0073556F">
        <w:rPr>
          <w:rFonts w:ascii="Arial" w:hAnsi="Arial" w:cs="Arial"/>
          <w:sz w:val="24"/>
          <w:szCs w:val="24"/>
        </w:rPr>
        <w:t>ax.</w:t>
      </w:r>
    </w:p>
    <w:p w14:paraId="6008BB8E" w14:textId="32EC4BC4" w:rsidR="00756F1A" w:rsidRDefault="003E0F11">
      <w:pPr>
        <w:rPr>
          <w:rFonts w:ascii="Arial" w:hAnsi="Arial" w:cs="Arial"/>
          <w:sz w:val="24"/>
          <w:szCs w:val="24"/>
        </w:rPr>
      </w:pPr>
      <w:r>
        <w:rPr>
          <w:rFonts w:ascii="Arial" w:hAnsi="Arial" w:cs="Arial"/>
          <w:sz w:val="24"/>
          <w:szCs w:val="24"/>
        </w:rPr>
        <w:lastRenderedPageBreak/>
        <w:t>After paying off her priority debts, the client hopes to be able to</w:t>
      </w:r>
      <w:r w:rsidR="0073556F">
        <w:rPr>
          <w:rFonts w:ascii="Arial" w:hAnsi="Arial" w:cs="Arial"/>
          <w:sz w:val="24"/>
          <w:szCs w:val="24"/>
        </w:rPr>
        <w:t xml:space="preserve"> build up to using a </w:t>
      </w:r>
      <w:r w:rsidR="002668EA">
        <w:rPr>
          <w:rFonts w:ascii="Arial" w:hAnsi="Arial" w:cs="Arial"/>
          <w:sz w:val="24"/>
          <w:szCs w:val="24"/>
        </w:rPr>
        <w:t xml:space="preserve">regular </w:t>
      </w:r>
      <w:r w:rsidR="0073556F">
        <w:rPr>
          <w:rFonts w:ascii="Arial" w:hAnsi="Arial" w:cs="Arial"/>
          <w:sz w:val="24"/>
          <w:szCs w:val="24"/>
        </w:rPr>
        <w:t>taxi service to take her to the local chem</w:t>
      </w:r>
      <w:r w:rsidR="002668EA">
        <w:rPr>
          <w:rFonts w:ascii="Arial" w:hAnsi="Arial" w:cs="Arial"/>
          <w:sz w:val="24"/>
          <w:szCs w:val="24"/>
        </w:rPr>
        <w:t>ist. In the medium to longer term she intends to</w:t>
      </w:r>
      <w:r>
        <w:rPr>
          <w:rFonts w:ascii="Arial" w:hAnsi="Arial" w:cs="Arial"/>
          <w:sz w:val="24"/>
          <w:szCs w:val="24"/>
        </w:rPr>
        <w:t xml:space="preserve"> purchase a car. She says that she will feel safe once in</w:t>
      </w:r>
      <w:r w:rsidR="002668EA">
        <w:rPr>
          <w:rFonts w:ascii="Arial" w:hAnsi="Arial" w:cs="Arial"/>
          <w:sz w:val="24"/>
          <w:szCs w:val="24"/>
        </w:rPr>
        <w:t>side</w:t>
      </w:r>
      <w:r>
        <w:rPr>
          <w:rFonts w:ascii="Arial" w:hAnsi="Arial" w:cs="Arial"/>
          <w:sz w:val="24"/>
          <w:szCs w:val="24"/>
        </w:rPr>
        <w:t xml:space="preserve"> the car, and hopes that she will soon feel able to get from the entrance to her flats to the car on her own. This will give her a lot more independence and relieve some of the pressure on her mother</w:t>
      </w:r>
      <w:r w:rsidR="002668EA">
        <w:rPr>
          <w:rFonts w:ascii="Arial" w:hAnsi="Arial" w:cs="Arial"/>
          <w:sz w:val="24"/>
          <w:szCs w:val="24"/>
        </w:rPr>
        <w:t xml:space="preserve"> as she will be able make some local journeys on her own and collect her mother to take her to her flat rather than her mother having to drive over every day.</w:t>
      </w:r>
    </w:p>
    <w:p w14:paraId="4A102781" w14:textId="77777777" w:rsidR="006D7B7E" w:rsidRDefault="006D7B7E">
      <w:pPr>
        <w:rPr>
          <w:rFonts w:ascii="Arial" w:hAnsi="Arial" w:cs="Arial"/>
          <w:sz w:val="24"/>
          <w:szCs w:val="24"/>
        </w:rPr>
      </w:pPr>
    </w:p>
    <w:p w14:paraId="39D360A0" w14:textId="77777777" w:rsidR="00AA2D77" w:rsidRDefault="00AA2D77" w:rsidP="00AA2D77">
      <w:pPr>
        <w:rPr>
          <w:rFonts w:ascii="Arial" w:hAnsi="Arial" w:cs="Arial"/>
          <w:b/>
          <w:sz w:val="24"/>
          <w:szCs w:val="24"/>
        </w:rPr>
      </w:pPr>
      <w:r>
        <w:rPr>
          <w:rFonts w:ascii="Arial" w:hAnsi="Arial" w:cs="Arial"/>
          <w:b/>
          <w:sz w:val="24"/>
          <w:szCs w:val="24"/>
        </w:rPr>
        <w:t>Case study 2</w:t>
      </w:r>
    </w:p>
    <w:p w14:paraId="7D2E9E62" w14:textId="55EB14BC" w:rsidR="00AA2D77" w:rsidRDefault="00AA2D77" w:rsidP="00AA2D77">
      <w:pPr>
        <w:rPr>
          <w:rFonts w:ascii="Arial" w:hAnsi="Arial" w:cs="Arial"/>
          <w:sz w:val="24"/>
          <w:szCs w:val="24"/>
        </w:rPr>
      </w:pPr>
      <w:r>
        <w:rPr>
          <w:rFonts w:ascii="Arial" w:hAnsi="Arial" w:cs="Arial"/>
          <w:sz w:val="24"/>
          <w:szCs w:val="24"/>
        </w:rPr>
        <w:t xml:space="preserve">This case was referred by a Community Mental Health Worker. His client already had an award of Personal Independence Payment, at the standard rate of daily living. The client had a long history of mental illness and schizophrenia. She had support from the NHS Community Mental Health Team but struggled to manage her day to day care and rarely left home. Having to stay at home increases her heating and other costs. Her fear of meeting other people increased following an altercation with local youths. When she did go out she invariably went by taxi, even when going somewhere local. The claimant and his support worker believed that </w:t>
      </w:r>
      <w:r w:rsidR="00C15957">
        <w:rPr>
          <w:rFonts w:ascii="Arial" w:hAnsi="Arial" w:cs="Arial"/>
          <w:sz w:val="24"/>
          <w:szCs w:val="24"/>
        </w:rPr>
        <w:t>s</w:t>
      </w:r>
      <w:r>
        <w:rPr>
          <w:rFonts w:ascii="Arial" w:hAnsi="Arial" w:cs="Arial"/>
          <w:sz w:val="24"/>
          <w:szCs w:val="24"/>
        </w:rPr>
        <w:t>he should be entitled to the mobility component of personal independence payment.</w:t>
      </w:r>
    </w:p>
    <w:p w14:paraId="007F01A7" w14:textId="3AFC6B9D" w:rsidR="00AA2D77" w:rsidRDefault="00AA2D77" w:rsidP="00AA2D77">
      <w:pPr>
        <w:rPr>
          <w:rFonts w:ascii="Arial" w:hAnsi="Arial" w:cs="Arial"/>
          <w:sz w:val="24"/>
          <w:szCs w:val="24"/>
        </w:rPr>
      </w:pPr>
      <w:r>
        <w:rPr>
          <w:rFonts w:ascii="Arial" w:hAnsi="Arial" w:cs="Arial"/>
          <w:sz w:val="24"/>
          <w:szCs w:val="24"/>
        </w:rPr>
        <w:t xml:space="preserve">On taking evidence from the client grounds for entitlement to enhanced rate daily living and the mobility component of Personal Independence Payment were identified. The client was advised that an appeal tribunal have the power to reduce or increase an award, or leave the award unchanged, and therefore that </w:t>
      </w:r>
      <w:r w:rsidR="00C15957">
        <w:rPr>
          <w:rFonts w:ascii="Arial" w:hAnsi="Arial" w:cs="Arial"/>
          <w:sz w:val="24"/>
          <w:szCs w:val="24"/>
        </w:rPr>
        <w:t>there was a potential risk to her</w:t>
      </w:r>
      <w:r>
        <w:rPr>
          <w:rFonts w:ascii="Arial" w:hAnsi="Arial" w:cs="Arial"/>
          <w:sz w:val="24"/>
          <w:szCs w:val="24"/>
        </w:rPr>
        <w:t xml:space="preserve"> pre-existing award. She decided to proceed with the appeal. A written submission and representation at the hearing were provided. The Tribunal awarded the enhanced rate daily living and standard rate mobility component, an increase of £49 per week. This will help the client to pay for taxis and so encourage her to go out and decrease her isolation.</w:t>
      </w:r>
    </w:p>
    <w:p w14:paraId="59FE64C5" w14:textId="77777777" w:rsidR="002668EA" w:rsidRDefault="002668EA">
      <w:pPr>
        <w:rPr>
          <w:rFonts w:ascii="Arial" w:hAnsi="Arial" w:cs="Arial"/>
          <w:sz w:val="24"/>
          <w:szCs w:val="24"/>
        </w:rPr>
      </w:pPr>
    </w:p>
    <w:p w14:paraId="03B0B057" w14:textId="77777777" w:rsidR="00C0215B" w:rsidRDefault="00C0215B">
      <w:pPr>
        <w:rPr>
          <w:rFonts w:ascii="Arial" w:hAnsi="Arial" w:cs="Arial"/>
          <w:b/>
          <w:sz w:val="24"/>
          <w:szCs w:val="24"/>
        </w:rPr>
      </w:pPr>
      <w:r>
        <w:rPr>
          <w:rFonts w:ascii="Arial" w:hAnsi="Arial" w:cs="Arial"/>
          <w:b/>
          <w:sz w:val="24"/>
          <w:szCs w:val="24"/>
        </w:rPr>
        <w:t>Case study 3</w:t>
      </w:r>
    </w:p>
    <w:p w14:paraId="2C69B52D" w14:textId="392C8CDE" w:rsidR="00C0215B" w:rsidRDefault="00C0215B">
      <w:pPr>
        <w:rPr>
          <w:rFonts w:ascii="Arial" w:hAnsi="Arial" w:cs="Arial"/>
          <w:sz w:val="24"/>
          <w:szCs w:val="24"/>
        </w:rPr>
      </w:pPr>
      <w:r>
        <w:rPr>
          <w:rFonts w:ascii="Arial" w:hAnsi="Arial" w:cs="Arial"/>
          <w:sz w:val="24"/>
          <w:szCs w:val="24"/>
        </w:rPr>
        <w:t xml:space="preserve">This case started with a request for an opinion as to whether the First-tier Tribunal decision involved an error of law. The client’s appeal in relation to </w:t>
      </w:r>
      <w:r w:rsidR="00921DB3">
        <w:rPr>
          <w:rFonts w:ascii="Arial" w:hAnsi="Arial" w:cs="Arial"/>
          <w:sz w:val="24"/>
          <w:szCs w:val="24"/>
        </w:rPr>
        <w:t>P</w:t>
      </w:r>
      <w:r>
        <w:rPr>
          <w:rFonts w:ascii="Arial" w:hAnsi="Arial" w:cs="Arial"/>
          <w:sz w:val="24"/>
          <w:szCs w:val="24"/>
        </w:rPr>
        <w:t xml:space="preserve">ersonal </w:t>
      </w:r>
      <w:r w:rsidR="00921DB3">
        <w:rPr>
          <w:rFonts w:ascii="Arial" w:hAnsi="Arial" w:cs="Arial"/>
          <w:sz w:val="24"/>
          <w:szCs w:val="24"/>
        </w:rPr>
        <w:t>I</w:t>
      </w:r>
      <w:r>
        <w:rPr>
          <w:rFonts w:ascii="Arial" w:hAnsi="Arial" w:cs="Arial"/>
          <w:sz w:val="24"/>
          <w:szCs w:val="24"/>
        </w:rPr>
        <w:t xml:space="preserve">ndependence </w:t>
      </w:r>
      <w:r w:rsidR="00921DB3">
        <w:rPr>
          <w:rFonts w:ascii="Arial" w:hAnsi="Arial" w:cs="Arial"/>
          <w:sz w:val="24"/>
          <w:szCs w:val="24"/>
        </w:rPr>
        <w:t>P</w:t>
      </w:r>
      <w:r>
        <w:rPr>
          <w:rFonts w:ascii="Arial" w:hAnsi="Arial" w:cs="Arial"/>
          <w:sz w:val="24"/>
          <w:szCs w:val="24"/>
        </w:rPr>
        <w:t>ayment had been unsuccessful.</w:t>
      </w:r>
    </w:p>
    <w:p w14:paraId="6E584255" w14:textId="2153BD9A" w:rsidR="00C0215B" w:rsidRDefault="00C0215B">
      <w:pPr>
        <w:rPr>
          <w:rFonts w:ascii="Arial" w:hAnsi="Arial" w:cs="Arial"/>
          <w:sz w:val="24"/>
          <w:szCs w:val="24"/>
        </w:rPr>
      </w:pPr>
      <w:r>
        <w:rPr>
          <w:rFonts w:ascii="Arial" w:hAnsi="Arial" w:cs="Arial"/>
          <w:sz w:val="24"/>
          <w:szCs w:val="24"/>
        </w:rPr>
        <w:t>We looked over the appeal papers and identified that</w:t>
      </w:r>
      <w:r w:rsidR="00B26AC3">
        <w:rPr>
          <w:rFonts w:ascii="Arial" w:hAnsi="Arial" w:cs="Arial"/>
          <w:sz w:val="24"/>
          <w:szCs w:val="24"/>
        </w:rPr>
        <w:t>, arguably,</w:t>
      </w:r>
      <w:r>
        <w:rPr>
          <w:rFonts w:ascii="Arial" w:hAnsi="Arial" w:cs="Arial"/>
          <w:sz w:val="24"/>
          <w:szCs w:val="24"/>
        </w:rPr>
        <w:t xml:space="preserve"> the Tribunal had</w:t>
      </w:r>
      <w:r w:rsidR="00B26AC3">
        <w:rPr>
          <w:rFonts w:ascii="Arial" w:hAnsi="Arial" w:cs="Arial"/>
          <w:sz w:val="24"/>
          <w:szCs w:val="24"/>
        </w:rPr>
        <w:t xml:space="preserve"> </w:t>
      </w:r>
      <w:r>
        <w:rPr>
          <w:rFonts w:ascii="Arial" w:hAnsi="Arial" w:cs="Arial"/>
          <w:sz w:val="24"/>
          <w:szCs w:val="24"/>
        </w:rPr>
        <w:t>not adequately explained the basis of their decision.</w:t>
      </w:r>
      <w:r w:rsidR="00B26AC3">
        <w:rPr>
          <w:rFonts w:ascii="Arial" w:hAnsi="Arial" w:cs="Arial"/>
          <w:sz w:val="24"/>
          <w:szCs w:val="24"/>
        </w:rPr>
        <w:t xml:space="preserve"> A</w:t>
      </w:r>
      <w:r>
        <w:rPr>
          <w:rFonts w:ascii="Arial" w:hAnsi="Arial" w:cs="Arial"/>
          <w:sz w:val="24"/>
          <w:szCs w:val="24"/>
        </w:rPr>
        <w:t xml:space="preserve"> submission requesting permission to appeal to Upper Tribunal </w:t>
      </w:r>
      <w:r w:rsidR="00B26AC3">
        <w:rPr>
          <w:rFonts w:ascii="Arial" w:hAnsi="Arial" w:cs="Arial"/>
          <w:sz w:val="24"/>
          <w:szCs w:val="24"/>
        </w:rPr>
        <w:t xml:space="preserve">was drafted </w:t>
      </w:r>
      <w:r>
        <w:rPr>
          <w:rFonts w:ascii="Arial" w:hAnsi="Arial" w:cs="Arial"/>
          <w:sz w:val="24"/>
          <w:szCs w:val="24"/>
        </w:rPr>
        <w:t>on behalf o</w:t>
      </w:r>
      <w:r w:rsidR="00B26AC3">
        <w:rPr>
          <w:rFonts w:ascii="Arial" w:hAnsi="Arial" w:cs="Arial"/>
          <w:sz w:val="24"/>
          <w:szCs w:val="24"/>
        </w:rPr>
        <w:t>f the adviser. Permission was granted and subsequently t</w:t>
      </w:r>
      <w:r>
        <w:rPr>
          <w:rFonts w:ascii="Arial" w:hAnsi="Arial" w:cs="Arial"/>
          <w:sz w:val="24"/>
          <w:szCs w:val="24"/>
        </w:rPr>
        <w:t xml:space="preserve">he </w:t>
      </w:r>
      <w:r w:rsidR="00B26AC3">
        <w:rPr>
          <w:rFonts w:ascii="Arial" w:hAnsi="Arial" w:cs="Arial"/>
          <w:sz w:val="24"/>
          <w:szCs w:val="24"/>
        </w:rPr>
        <w:t xml:space="preserve">Upper Tribunal agreed that there had been an error of law and the </w:t>
      </w:r>
      <w:r>
        <w:rPr>
          <w:rFonts w:ascii="Arial" w:hAnsi="Arial" w:cs="Arial"/>
          <w:sz w:val="24"/>
          <w:szCs w:val="24"/>
        </w:rPr>
        <w:t xml:space="preserve">decision of the First-tier Tribunal </w:t>
      </w:r>
      <w:r w:rsidR="00B26AC3">
        <w:rPr>
          <w:rFonts w:ascii="Arial" w:hAnsi="Arial" w:cs="Arial"/>
          <w:sz w:val="24"/>
          <w:szCs w:val="24"/>
        </w:rPr>
        <w:t xml:space="preserve">was </w:t>
      </w:r>
      <w:r>
        <w:rPr>
          <w:rFonts w:ascii="Arial" w:hAnsi="Arial" w:cs="Arial"/>
          <w:sz w:val="24"/>
          <w:szCs w:val="24"/>
        </w:rPr>
        <w:t>overturned. We gave advice about procedure throughout this process.</w:t>
      </w:r>
    </w:p>
    <w:p w14:paraId="445A7461" w14:textId="77777777" w:rsidR="00CE0FCE" w:rsidRDefault="00CE0FCE">
      <w:pPr>
        <w:rPr>
          <w:rFonts w:ascii="Arial" w:hAnsi="Arial" w:cs="Arial"/>
          <w:sz w:val="24"/>
          <w:szCs w:val="24"/>
        </w:rPr>
      </w:pPr>
      <w:r>
        <w:rPr>
          <w:rFonts w:ascii="Arial" w:hAnsi="Arial" w:cs="Arial"/>
          <w:sz w:val="24"/>
          <w:szCs w:val="24"/>
        </w:rPr>
        <w:br w:type="page"/>
      </w:r>
    </w:p>
    <w:p w14:paraId="4AF59F8E" w14:textId="56CA54B3" w:rsidR="006D7B7E" w:rsidRDefault="00CB1FE3">
      <w:pPr>
        <w:rPr>
          <w:rFonts w:ascii="Arial" w:hAnsi="Arial" w:cs="Arial"/>
          <w:sz w:val="24"/>
          <w:szCs w:val="24"/>
        </w:rPr>
      </w:pPr>
      <w:r>
        <w:rPr>
          <w:rFonts w:ascii="Arial" w:hAnsi="Arial" w:cs="Arial"/>
          <w:sz w:val="24"/>
          <w:szCs w:val="24"/>
        </w:rPr>
        <w:lastRenderedPageBreak/>
        <w:t>The case was referred back to be re-heard by a new First-tier Tribunal and we represented the client in the ca</w:t>
      </w:r>
      <w:r w:rsidR="00C15957">
        <w:rPr>
          <w:rFonts w:ascii="Arial" w:hAnsi="Arial" w:cs="Arial"/>
          <w:sz w:val="24"/>
          <w:szCs w:val="24"/>
        </w:rPr>
        <w:t>se, collecting evidence from him</w:t>
      </w:r>
      <w:r w:rsidR="00B26AC3">
        <w:rPr>
          <w:rFonts w:ascii="Arial" w:hAnsi="Arial" w:cs="Arial"/>
          <w:sz w:val="24"/>
          <w:szCs w:val="24"/>
        </w:rPr>
        <w:t xml:space="preserve"> directly</w:t>
      </w:r>
      <w:r>
        <w:rPr>
          <w:rFonts w:ascii="Arial" w:hAnsi="Arial" w:cs="Arial"/>
          <w:sz w:val="24"/>
          <w:szCs w:val="24"/>
        </w:rPr>
        <w:t>, providing a written submission and repre</w:t>
      </w:r>
      <w:r w:rsidR="00B26AC3">
        <w:rPr>
          <w:rFonts w:ascii="Arial" w:hAnsi="Arial" w:cs="Arial"/>
          <w:sz w:val="24"/>
          <w:szCs w:val="24"/>
        </w:rPr>
        <w:t>senting at the hearing. The appeal</w:t>
      </w:r>
      <w:r>
        <w:rPr>
          <w:rFonts w:ascii="Arial" w:hAnsi="Arial" w:cs="Arial"/>
          <w:sz w:val="24"/>
          <w:szCs w:val="24"/>
        </w:rPr>
        <w:t xml:space="preserve"> was successful and the client was awarded the standard rate of both the daily living and mobility element of </w:t>
      </w:r>
      <w:r w:rsidR="00921DB3">
        <w:rPr>
          <w:rFonts w:ascii="Arial" w:hAnsi="Arial" w:cs="Arial"/>
          <w:sz w:val="24"/>
          <w:szCs w:val="24"/>
        </w:rPr>
        <w:t>P</w:t>
      </w:r>
      <w:r>
        <w:rPr>
          <w:rFonts w:ascii="Arial" w:hAnsi="Arial" w:cs="Arial"/>
          <w:sz w:val="24"/>
          <w:szCs w:val="24"/>
        </w:rPr>
        <w:t xml:space="preserve">ersonal </w:t>
      </w:r>
      <w:r w:rsidR="00921DB3">
        <w:rPr>
          <w:rFonts w:ascii="Arial" w:hAnsi="Arial" w:cs="Arial"/>
          <w:sz w:val="24"/>
          <w:szCs w:val="24"/>
        </w:rPr>
        <w:t>I</w:t>
      </w:r>
      <w:r>
        <w:rPr>
          <w:rFonts w:ascii="Arial" w:hAnsi="Arial" w:cs="Arial"/>
          <w:sz w:val="24"/>
          <w:szCs w:val="24"/>
        </w:rPr>
        <w:t xml:space="preserve">ndependence </w:t>
      </w:r>
      <w:r w:rsidR="00921DB3">
        <w:rPr>
          <w:rFonts w:ascii="Arial" w:hAnsi="Arial" w:cs="Arial"/>
          <w:sz w:val="24"/>
          <w:szCs w:val="24"/>
        </w:rPr>
        <w:t>P</w:t>
      </w:r>
      <w:r>
        <w:rPr>
          <w:rFonts w:ascii="Arial" w:hAnsi="Arial" w:cs="Arial"/>
          <w:sz w:val="24"/>
          <w:szCs w:val="24"/>
        </w:rPr>
        <w:t xml:space="preserve">ayment, an income increase of </w:t>
      </w:r>
      <w:r w:rsidR="00B26AC3">
        <w:rPr>
          <w:rFonts w:ascii="Arial" w:hAnsi="Arial" w:cs="Arial"/>
          <w:sz w:val="24"/>
          <w:szCs w:val="24"/>
        </w:rPr>
        <w:t>£76.90</w:t>
      </w:r>
      <w:r>
        <w:rPr>
          <w:rFonts w:ascii="Arial" w:hAnsi="Arial" w:cs="Arial"/>
          <w:sz w:val="24"/>
          <w:szCs w:val="24"/>
        </w:rPr>
        <w:t>. As the case had taken two years to resolve</w:t>
      </w:r>
      <w:r w:rsidR="00B26AC3">
        <w:rPr>
          <w:rFonts w:ascii="Arial" w:hAnsi="Arial" w:cs="Arial"/>
          <w:sz w:val="24"/>
          <w:szCs w:val="24"/>
        </w:rPr>
        <w:t>,</w:t>
      </w:r>
      <w:r>
        <w:rPr>
          <w:rFonts w:ascii="Arial" w:hAnsi="Arial" w:cs="Arial"/>
          <w:sz w:val="24"/>
          <w:szCs w:val="24"/>
        </w:rPr>
        <w:t xml:space="preserve"> he </w:t>
      </w:r>
      <w:r w:rsidR="00B26AC3">
        <w:rPr>
          <w:rFonts w:ascii="Arial" w:hAnsi="Arial" w:cs="Arial"/>
          <w:sz w:val="24"/>
          <w:szCs w:val="24"/>
        </w:rPr>
        <w:t>was also entitled to an arrears</w:t>
      </w:r>
      <w:r w:rsidR="007B714F">
        <w:rPr>
          <w:rFonts w:ascii="Arial" w:hAnsi="Arial" w:cs="Arial"/>
          <w:sz w:val="24"/>
          <w:szCs w:val="24"/>
        </w:rPr>
        <w:t xml:space="preserve"> payment of £7,920</w:t>
      </w:r>
      <w:r w:rsidR="00C15957">
        <w:rPr>
          <w:rFonts w:ascii="Arial" w:hAnsi="Arial" w:cs="Arial"/>
          <w:sz w:val="24"/>
          <w:szCs w:val="24"/>
        </w:rPr>
        <w:t>. H</w:t>
      </w:r>
      <w:r>
        <w:rPr>
          <w:rFonts w:ascii="Arial" w:hAnsi="Arial" w:cs="Arial"/>
          <w:sz w:val="24"/>
          <w:szCs w:val="24"/>
        </w:rPr>
        <w:t>e also became entitled to an additional severe disability pre</w:t>
      </w:r>
      <w:r w:rsidR="00C15957">
        <w:rPr>
          <w:rFonts w:ascii="Arial" w:hAnsi="Arial" w:cs="Arial"/>
          <w:sz w:val="24"/>
          <w:szCs w:val="24"/>
        </w:rPr>
        <w:t>mium of £61.85 per week with his</w:t>
      </w:r>
      <w:r>
        <w:rPr>
          <w:rFonts w:ascii="Arial" w:hAnsi="Arial" w:cs="Arial"/>
          <w:sz w:val="24"/>
          <w:szCs w:val="24"/>
        </w:rPr>
        <w:t xml:space="preserve"> income-related </w:t>
      </w:r>
      <w:r w:rsidR="00921DB3">
        <w:rPr>
          <w:rFonts w:ascii="Arial" w:hAnsi="Arial" w:cs="Arial"/>
          <w:sz w:val="24"/>
          <w:szCs w:val="24"/>
        </w:rPr>
        <w:t>E</w:t>
      </w:r>
      <w:r>
        <w:rPr>
          <w:rFonts w:ascii="Arial" w:hAnsi="Arial" w:cs="Arial"/>
          <w:sz w:val="24"/>
          <w:szCs w:val="24"/>
        </w:rPr>
        <w:t xml:space="preserve">mployment and </w:t>
      </w:r>
      <w:r w:rsidR="00921DB3">
        <w:rPr>
          <w:rFonts w:ascii="Arial" w:hAnsi="Arial" w:cs="Arial"/>
          <w:sz w:val="24"/>
          <w:szCs w:val="24"/>
        </w:rPr>
        <w:t>S</w:t>
      </w:r>
      <w:r>
        <w:rPr>
          <w:rFonts w:ascii="Arial" w:hAnsi="Arial" w:cs="Arial"/>
          <w:sz w:val="24"/>
          <w:szCs w:val="24"/>
        </w:rPr>
        <w:t xml:space="preserve">upport </w:t>
      </w:r>
      <w:r w:rsidR="00921DB3">
        <w:rPr>
          <w:rFonts w:ascii="Arial" w:hAnsi="Arial" w:cs="Arial"/>
          <w:sz w:val="24"/>
          <w:szCs w:val="24"/>
        </w:rPr>
        <w:t>A</w:t>
      </w:r>
      <w:r>
        <w:rPr>
          <w:rFonts w:ascii="Arial" w:hAnsi="Arial" w:cs="Arial"/>
          <w:sz w:val="24"/>
          <w:szCs w:val="24"/>
        </w:rPr>
        <w:t>llowance</w:t>
      </w:r>
      <w:r w:rsidR="00C15957">
        <w:rPr>
          <w:rFonts w:ascii="Arial" w:hAnsi="Arial" w:cs="Arial"/>
          <w:sz w:val="24"/>
          <w:szCs w:val="24"/>
        </w:rPr>
        <w:t>,</w:t>
      </w:r>
      <w:r>
        <w:rPr>
          <w:rFonts w:ascii="Arial" w:hAnsi="Arial" w:cs="Arial"/>
          <w:sz w:val="24"/>
          <w:szCs w:val="24"/>
        </w:rPr>
        <w:t xml:space="preserve"> with some backdated entitlement. </w:t>
      </w:r>
      <w:r w:rsidR="00C0215B">
        <w:rPr>
          <w:rFonts w:ascii="Arial" w:hAnsi="Arial" w:cs="Arial"/>
          <w:sz w:val="24"/>
          <w:szCs w:val="24"/>
        </w:rPr>
        <w:t xml:space="preserve"> </w:t>
      </w:r>
    </w:p>
    <w:p w14:paraId="5DF1865F" w14:textId="0E051A8E" w:rsidR="00921DB3" w:rsidRPr="00C33031" w:rsidRDefault="00921DB3">
      <w:pPr>
        <w:rPr>
          <w:rFonts w:ascii="Arial" w:hAnsi="Arial" w:cs="Arial"/>
          <w:sz w:val="24"/>
          <w:szCs w:val="24"/>
        </w:rPr>
      </w:pPr>
      <w:r>
        <w:rPr>
          <w:rFonts w:ascii="Arial" w:hAnsi="Arial" w:cs="Arial"/>
          <w:sz w:val="24"/>
          <w:szCs w:val="24"/>
        </w:rPr>
        <w:t>With this extra income the claimant would be able to clear accrued debts and set up realistic payment plans, whilst taking into account the</w:t>
      </w:r>
      <w:r w:rsidR="00C15957">
        <w:rPr>
          <w:rFonts w:ascii="Arial" w:hAnsi="Arial" w:cs="Arial"/>
          <w:sz w:val="24"/>
          <w:szCs w:val="24"/>
        </w:rPr>
        <w:t xml:space="preserve"> extra costs associated with his</w:t>
      </w:r>
      <w:r>
        <w:rPr>
          <w:rFonts w:ascii="Arial" w:hAnsi="Arial" w:cs="Arial"/>
          <w:sz w:val="24"/>
          <w:szCs w:val="24"/>
        </w:rPr>
        <w:t xml:space="preserve"> disability. </w:t>
      </w:r>
    </w:p>
    <w:p w14:paraId="509E8617" w14:textId="77777777" w:rsidR="00351900" w:rsidRDefault="00351900" w:rsidP="00351900">
      <w:pPr>
        <w:rPr>
          <w:rFonts w:ascii="Arial" w:hAnsi="Arial" w:cs="Arial"/>
          <w:b/>
          <w:sz w:val="28"/>
          <w:szCs w:val="24"/>
        </w:rPr>
      </w:pPr>
    </w:p>
    <w:p w14:paraId="758F6194" w14:textId="77777777" w:rsidR="00351900" w:rsidRDefault="00351900" w:rsidP="00351900">
      <w:pPr>
        <w:rPr>
          <w:rFonts w:ascii="Arial" w:hAnsi="Arial" w:cs="Arial"/>
          <w:b/>
          <w:sz w:val="28"/>
          <w:szCs w:val="24"/>
        </w:rPr>
      </w:pPr>
      <w:r>
        <w:rPr>
          <w:rFonts w:ascii="Arial" w:hAnsi="Arial" w:cs="Arial"/>
          <w:b/>
          <w:sz w:val="28"/>
          <w:szCs w:val="24"/>
        </w:rPr>
        <w:t>Future actions</w:t>
      </w:r>
    </w:p>
    <w:p w14:paraId="189F72C3" w14:textId="2F162264" w:rsidR="00351900" w:rsidRPr="005E49D1" w:rsidRDefault="00351900" w:rsidP="00351900">
      <w:pPr>
        <w:rPr>
          <w:rFonts w:ascii="Arial" w:hAnsi="Arial" w:cs="Arial"/>
          <w:sz w:val="24"/>
          <w:szCs w:val="24"/>
        </w:rPr>
      </w:pPr>
      <w:r>
        <w:rPr>
          <w:rFonts w:ascii="Arial" w:hAnsi="Arial" w:cs="Arial"/>
          <w:sz w:val="24"/>
          <w:szCs w:val="24"/>
        </w:rPr>
        <w:t xml:space="preserve">During the time of the BATS project availability for advice within York has decreased. We have been informed by some support workers that they are no longer able to support clients at appeal and Citizens Advice, with the end of Advice Services Transition Fund support, no longer have a specific benefits advice team. During the project the need to support front-line workers and volunteers led to a more ‘hands-on’ service, with more direct client contact than predicted (24 occasions) and, on </w:t>
      </w:r>
      <w:r w:rsidRPr="00F76548">
        <w:rPr>
          <w:rFonts w:ascii="Arial" w:hAnsi="Arial" w:cs="Arial"/>
          <w:sz w:val="24"/>
          <w:szCs w:val="24"/>
        </w:rPr>
        <w:t>occasion, taking</w:t>
      </w:r>
      <w:r>
        <w:rPr>
          <w:rFonts w:ascii="Arial" w:hAnsi="Arial" w:cs="Arial"/>
          <w:sz w:val="24"/>
          <w:szCs w:val="24"/>
        </w:rPr>
        <w:t xml:space="preserve"> cases forward independently from the support worker. The FISG funding has enabled the WBU to look at the appeals service offer, assess current capacity and identify the </w:t>
      </w:r>
      <w:r w:rsidR="00C72D3D">
        <w:rPr>
          <w:rFonts w:ascii="Arial" w:hAnsi="Arial" w:cs="Arial"/>
          <w:sz w:val="24"/>
          <w:szCs w:val="24"/>
        </w:rPr>
        <w:t>benefit of</w:t>
      </w:r>
      <w:r>
        <w:rPr>
          <w:rFonts w:ascii="Arial" w:hAnsi="Arial" w:cs="Arial"/>
          <w:sz w:val="24"/>
          <w:szCs w:val="24"/>
        </w:rPr>
        <w:t xml:space="preserve"> offer</w:t>
      </w:r>
      <w:r w:rsidR="00C72D3D">
        <w:rPr>
          <w:rFonts w:ascii="Arial" w:hAnsi="Arial" w:cs="Arial"/>
          <w:sz w:val="24"/>
          <w:szCs w:val="24"/>
        </w:rPr>
        <w:t>ing</w:t>
      </w:r>
      <w:r>
        <w:rPr>
          <w:rFonts w:ascii="Arial" w:hAnsi="Arial" w:cs="Arial"/>
          <w:sz w:val="24"/>
          <w:szCs w:val="24"/>
        </w:rPr>
        <w:t xml:space="preserve"> more involved support to advisers and front-line workers. The</w:t>
      </w:r>
      <w:r w:rsidRPr="00CE0EC3">
        <w:rPr>
          <w:rFonts w:ascii="Arial" w:hAnsi="Arial" w:cs="Arial"/>
          <w:sz w:val="24"/>
          <w:szCs w:val="24"/>
        </w:rPr>
        <w:t xml:space="preserve"> Welfare Benefits Unit </w:t>
      </w:r>
      <w:r>
        <w:rPr>
          <w:rFonts w:ascii="Arial" w:hAnsi="Arial" w:cs="Arial"/>
          <w:sz w:val="24"/>
          <w:szCs w:val="24"/>
        </w:rPr>
        <w:t xml:space="preserve">continues to support the open BATS cases and to offer limited support with appeals. </w:t>
      </w:r>
      <w:r w:rsidR="00C72D3D">
        <w:rPr>
          <w:rFonts w:ascii="Arial" w:hAnsi="Arial" w:cs="Arial"/>
          <w:sz w:val="24"/>
          <w:szCs w:val="24"/>
        </w:rPr>
        <w:t>The WBU aims to find further funding to provide more direct client contact, still with the primary aim of upskilling workers to manage challenges, but also ensuring that specialist advice is practically applied to support residents</w:t>
      </w:r>
      <w:r w:rsidR="00C15957">
        <w:rPr>
          <w:rFonts w:ascii="Arial" w:hAnsi="Arial" w:cs="Arial"/>
          <w:sz w:val="24"/>
          <w:szCs w:val="24"/>
        </w:rPr>
        <w:t xml:space="preserve"> when an adviser has limited capacity to take the case forward</w:t>
      </w:r>
      <w:r w:rsidR="00C72D3D">
        <w:rPr>
          <w:rFonts w:ascii="Arial" w:hAnsi="Arial" w:cs="Arial"/>
          <w:sz w:val="24"/>
          <w:szCs w:val="24"/>
        </w:rPr>
        <w:t xml:space="preserve">. </w:t>
      </w:r>
      <w:r>
        <w:rPr>
          <w:rFonts w:ascii="Arial" w:hAnsi="Arial" w:cs="Arial"/>
          <w:sz w:val="24"/>
          <w:szCs w:val="24"/>
        </w:rPr>
        <w:t xml:space="preserve">This is challenging in a time when costs continue to increase compared to static funding. However, the WBU are working to increase revenue through marketing of the Advisers Guide and training. An application for funding to provide community training has been made and the income from such projects helps to support core costs. An application to JRF will be heard in May to look at providing the essential more in-depth approach identified during the BATS project to ensure York residents can gain the support necessary to challenge decisions successfully. </w:t>
      </w:r>
    </w:p>
    <w:p w14:paraId="24F5334D" w14:textId="77777777" w:rsidR="008436A0" w:rsidRDefault="008436A0">
      <w:pPr>
        <w:rPr>
          <w:rFonts w:ascii="Arial" w:hAnsi="Arial" w:cs="Arial"/>
          <w:b/>
          <w:sz w:val="28"/>
          <w:szCs w:val="24"/>
        </w:rPr>
      </w:pPr>
    </w:p>
    <w:p w14:paraId="5D2F8D5F" w14:textId="77777777" w:rsidR="00CE0FCE" w:rsidRDefault="00CE0FCE">
      <w:pPr>
        <w:rPr>
          <w:rFonts w:ascii="Arial" w:hAnsi="Arial" w:cs="Arial"/>
          <w:b/>
          <w:sz w:val="24"/>
          <w:szCs w:val="24"/>
        </w:rPr>
      </w:pPr>
    </w:p>
    <w:p w14:paraId="6DBDDAED" w14:textId="77777777" w:rsidR="008436A0" w:rsidRDefault="008436A0">
      <w:pPr>
        <w:rPr>
          <w:rFonts w:ascii="Arial" w:hAnsi="Arial" w:cs="Arial"/>
          <w:b/>
          <w:sz w:val="24"/>
          <w:szCs w:val="24"/>
        </w:rPr>
      </w:pPr>
      <w:r>
        <w:rPr>
          <w:rFonts w:ascii="Arial" w:hAnsi="Arial" w:cs="Arial"/>
          <w:b/>
          <w:sz w:val="24"/>
          <w:szCs w:val="24"/>
        </w:rPr>
        <w:t>Written by:</w:t>
      </w:r>
    </w:p>
    <w:p w14:paraId="27849AA7" w14:textId="77777777" w:rsidR="008436A0" w:rsidRDefault="008436A0" w:rsidP="00CE0FCE">
      <w:pPr>
        <w:spacing w:after="0" w:line="240" w:lineRule="auto"/>
        <w:rPr>
          <w:rFonts w:ascii="Arial" w:hAnsi="Arial" w:cs="Arial"/>
          <w:sz w:val="24"/>
          <w:szCs w:val="24"/>
        </w:rPr>
      </w:pPr>
      <w:r>
        <w:rPr>
          <w:rFonts w:ascii="Arial" w:hAnsi="Arial" w:cs="Arial"/>
          <w:sz w:val="24"/>
          <w:szCs w:val="24"/>
        </w:rPr>
        <w:t>Kate Fincham, BATS Welfare Rights Adviser</w:t>
      </w:r>
    </w:p>
    <w:p w14:paraId="252DC984" w14:textId="77777777" w:rsidR="008436A0" w:rsidRPr="008436A0" w:rsidRDefault="008436A0" w:rsidP="00CE0FCE">
      <w:pPr>
        <w:spacing w:line="240" w:lineRule="auto"/>
        <w:rPr>
          <w:rFonts w:ascii="Arial" w:hAnsi="Arial" w:cs="Arial"/>
          <w:sz w:val="24"/>
          <w:szCs w:val="24"/>
        </w:rPr>
      </w:pPr>
      <w:r>
        <w:rPr>
          <w:rFonts w:ascii="Arial" w:hAnsi="Arial" w:cs="Arial"/>
          <w:sz w:val="24"/>
          <w:szCs w:val="24"/>
        </w:rPr>
        <w:t>January 2017</w:t>
      </w:r>
    </w:p>
    <w:sectPr w:rsidR="008436A0" w:rsidRPr="008436A0" w:rsidSect="007E2B87">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43B80" w14:textId="77777777" w:rsidR="00C632E1" w:rsidRDefault="00C632E1" w:rsidP="003268AD">
      <w:pPr>
        <w:spacing w:after="0" w:line="240" w:lineRule="auto"/>
      </w:pPr>
      <w:r>
        <w:separator/>
      </w:r>
    </w:p>
  </w:endnote>
  <w:endnote w:type="continuationSeparator" w:id="0">
    <w:p w14:paraId="11AF7AF0" w14:textId="77777777" w:rsidR="00C632E1" w:rsidRDefault="00C632E1" w:rsidP="0032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7151" w14:textId="554EF170" w:rsidR="003268AD" w:rsidRPr="00CE0FCE" w:rsidRDefault="00CE0FCE" w:rsidP="00CE0FCE">
    <w:pPr>
      <w:pStyle w:val="Footer"/>
      <w:jc w:val="right"/>
    </w:pPr>
    <w:r w:rsidRPr="00CE0FCE">
      <w:t xml:space="preserve">Page </w:t>
    </w:r>
    <w:r w:rsidRPr="00CE0FCE">
      <w:rPr>
        <w:bCs/>
      </w:rPr>
      <w:fldChar w:fldCharType="begin"/>
    </w:r>
    <w:r w:rsidRPr="00CE0FCE">
      <w:rPr>
        <w:bCs/>
      </w:rPr>
      <w:instrText xml:space="preserve"> PAGE  \* Arabic  \* MERGEFORMAT </w:instrText>
    </w:r>
    <w:r w:rsidRPr="00CE0FCE">
      <w:rPr>
        <w:bCs/>
      </w:rPr>
      <w:fldChar w:fldCharType="separate"/>
    </w:r>
    <w:r w:rsidR="009F2A50">
      <w:rPr>
        <w:bCs/>
        <w:noProof/>
      </w:rPr>
      <w:t>6</w:t>
    </w:r>
    <w:r w:rsidRPr="00CE0FCE">
      <w:rPr>
        <w:bCs/>
      </w:rPr>
      <w:fldChar w:fldCharType="end"/>
    </w:r>
    <w:r w:rsidRPr="00CE0FCE">
      <w:t xml:space="preserve"> of </w:t>
    </w:r>
    <w:r w:rsidRPr="00CE0FCE">
      <w:rPr>
        <w:bCs/>
      </w:rPr>
      <w:fldChar w:fldCharType="begin"/>
    </w:r>
    <w:r w:rsidRPr="00CE0FCE">
      <w:rPr>
        <w:bCs/>
      </w:rPr>
      <w:instrText xml:space="preserve"> NUMPAGES  \* Arabic  \* MERGEFORMAT </w:instrText>
    </w:r>
    <w:r w:rsidRPr="00CE0FCE">
      <w:rPr>
        <w:bCs/>
      </w:rPr>
      <w:fldChar w:fldCharType="separate"/>
    </w:r>
    <w:r w:rsidR="009F2A50">
      <w:rPr>
        <w:bCs/>
        <w:noProof/>
      </w:rPr>
      <w:t>9</w:t>
    </w:r>
    <w:r w:rsidRPr="00CE0FCE">
      <w:rPr>
        <w:bCs/>
      </w:rPr>
      <w:fldChar w:fldCharType="end"/>
    </w:r>
  </w:p>
  <w:p w14:paraId="10A8FDE8" w14:textId="77777777" w:rsidR="003268AD" w:rsidRDefault="00326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942B2" w14:textId="77777777" w:rsidR="00C632E1" w:rsidRDefault="00C632E1" w:rsidP="003268AD">
      <w:pPr>
        <w:spacing w:after="0" w:line="240" w:lineRule="auto"/>
      </w:pPr>
      <w:r>
        <w:separator/>
      </w:r>
    </w:p>
  </w:footnote>
  <w:footnote w:type="continuationSeparator" w:id="0">
    <w:p w14:paraId="40FCD621" w14:textId="77777777" w:rsidR="00C632E1" w:rsidRDefault="00C632E1" w:rsidP="00326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04D82"/>
    <w:multiLevelType w:val="hybridMultilevel"/>
    <w:tmpl w:val="68AE3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B7339"/>
    <w:multiLevelType w:val="hybridMultilevel"/>
    <w:tmpl w:val="E53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A"/>
    <w:rsid w:val="00034EC3"/>
    <w:rsid w:val="00050AD3"/>
    <w:rsid w:val="000865FB"/>
    <w:rsid w:val="000C7EB9"/>
    <w:rsid w:val="000D2163"/>
    <w:rsid w:val="000D7C51"/>
    <w:rsid w:val="000E17D6"/>
    <w:rsid w:val="00103960"/>
    <w:rsid w:val="0015084A"/>
    <w:rsid w:val="001A6D11"/>
    <w:rsid w:val="001A7364"/>
    <w:rsid w:val="002534A9"/>
    <w:rsid w:val="002668EA"/>
    <w:rsid w:val="0027718F"/>
    <w:rsid w:val="0028718A"/>
    <w:rsid w:val="002872F9"/>
    <w:rsid w:val="002A53E5"/>
    <w:rsid w:val="00317B13"/>
    <w:rsid w:val="003268AD"/>
    <w:rsid w:val="00351900"/>
    <w:rsid w:val="00395789"/>
    <w:rsid w:val="003A70BB"/>
    <w:rsid w:val="003E0F11"/>
    <w:rsid w:val="003E2A26"/>
    <w:rsid w:val="00420D6E"/>
    <w:rsid w:val="00440C37"/>
    <w:rsid w:val="00447AE7"/>
    <w:rsid w:val="00454B87"/>
    <w:rsid w:val="0048730F"/>
    <w:rsid w:val="004A401D"/>
    <w:rsid w:val="004B08FB"/>
    <w:rsid w:val="00537D89"/>
    <w:rsid w:val="00543B67"/>
    <w:rsid w:val="00567E7F"/>
    <w:rsid w:val="005B0CE0"/>
    <w:rsid w:val="005B248C"/>
    <w:rsid w:val="005B4742"/>
    <w:rsid w:val="005E49D1"/>
    <w:rsid w:val="0067095B"/>
    <w:rsid w:val="00675063"/>
    <w:rsid w:val="00676B77"/>
    <w:rsid w:val="006A2EF4"/>
    <w:rsid w:val="006A4E3E"/>
    <w:rsid w:val="006C09C9"/>
    <w:rsid w:val="006D7B7E"/>
    <w:rsid w:val="00707E0D"/>
    <w:rsid w:val="0071060F"/>
    <w:rsid w:val="00734CBC"/>
    <w:rsid w:val="0073556F"/>
    <w:rsid w:val="00756F1A"/>
    <w:rsid w:val="007930DC"/>
    <w:rsid w:val="007B714F"/>
    <w:rsid w:val="007D3A34"/>
    <w:rsid w:val="007D4DF0"/>
    <w:rsid w:val="007E2B87"/>
    <w:rsid w:val="008304BE"/>
    <w:rsid w:val="008436A0"/>
    <w:rsid w:val="00862D24"/>
    <w:rsid w:val="008930D2"/>
    <w:rsid w:val="008A4144"/>
    <w:rsid w:val="008F742B"/>
    <w:rsid w:val="00921DB3"/>
    <w:rsid w:val="009224CA"/>
    <w:rsid w:val="00946F88"/>
    <w:rsid w:val="00965DE5"/>
    <w:rsid w:val="00976C10"/>
    <w:rsid w:val="00992A30"/>
    <w:rsid w:val="009C0DF5"/>
    <w:rsid w:val="009C14FD"/>
    <w:rsid w:val="009C1895"/>
    <w:rsid w:val="009C44FC"/>
    <w:rsid w:val="009F2A50"/>
    <w:rsid w:val="00A15836"/>
    <w:rsid w:val="00A4180F"/>
    <w:rsid w:val="00A465FD"/>
    <w:rsid w:val="00A61449"/>
    <w:rsid w:val="00AA2D77"/>
    <w:rsid w:val="00AA40BA"/>
    <w:rsid w:val="00AA54BC"/>
    <w:rsid w:val="00AB5A7A"/>
    <w:rsid w:val="00AC0069"/>
    <w:rsid w:val="00AF15FE"/>
    <w:rsid w:val="00B0080E"/>
    <w:rsid w:val="00B1736D"/>
    <w:rsid w:val="00B26AC3"/>
    <w:rsid w:val="00B34A25"/>
    <w:rsid w:val="00C0215B"/>
    <w:rsid w:val="00C15957"/>
    <w:rsid w:val="00C33031"/>
    <w:rsid w:val="00C376B9"/>
    <w:rsid w:val="00C46BB4"/>
    <w:rsid w:val="00C632E1"/>
    <w:rsid w:val="00C63FA4"/>
    <w:rsid w:val="00C72D3D"/>
    <w:rsid w:val="00CA70A3"/>
    <w:rsid w:val="00CB1FE3"/>
    <w:rsid w:val="00CE0EC3"/>
    <w:rsid w:val="00CE0FCE"/>
    <w:rsid w:val="00CE4C2E"/>
    <w:rsid w:val="00D11E27"/>
    <w:rsid w:val="00D7392C"/>
    <w:rsid w:val="00D94F97"/>
    <w:rsid w:val="00DE3ACA"/>
    <w:rsid w:val="00DE75AA"/>
    <w:rsid w:val="00DF6193"/>
    <w:rsid w:val="00E10229"/>
    <w:rsid w:val="00E52870"/>
    <w:rsid w:val="00E83A8A"/>
    <w:rsid w:val="00EA1FC9"/>
    <w:rsid w:val="00F13EF8"/>
    <w:rsid w:val="00FC4DC6"/>
    <w:rsid w:val="00FF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6F66"/>
  <w15:chartTrackingRefBased/>
  <w15:docId w15:val="{3BB93DBC-F17F-4384-A0BA-6637A43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A70A3"/>
    <w:pPr>
      <w:keepNext/>
      <w:tabs>
        <w:tab w:val="left" w:leader="underscore" w:pos="5040"/>
        <w:tab w:val="left" w:pos="5760"/>
        <w:tab w:val="left" w:leader="underscore" w:pos="8640"/>
      </w:tabs>
      <w:spacing w:after="0" w:line="240" w:lineRule="auto"/>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A70A3"/>
    <w:pPr>
      <w:spacing w:after="0" w:line="220" w:lineRule="exact"/>
    </w:pPr>
    <w:rPr>
      <w:rFonts w:ascii="Arial" w:eastAsia="Times New Roman" w:hAnsi="Arial" w:cs="Times New Roman"/>
      <w:sz w:val="18"/>
      <w:szCs w:val="24"/>
      <w:lang w:val="en-US"/>
    </w:rPr>
  </w:style>
  <w:style w:type="character" w:customStyle="1" w:styleId="Heading3Char">
    <w:name w:val="Heading 3 Char"/>
    <w:basedOn w:val="DefaultParagraphFont"/>
    <w:link w:val="Heading3"/>
    <w:rsid w:val="00CA70A3"/>
    <w:rPr>
      <w:rFonts w:ascii="Times New Roman" w:eastAsia="Times New Roman" w:hAnsi="Times New Roman" w:cs="Times New Roman"/>
      <w:sz w:val="24"/>
      <w:szCs w:val="20"/>
      <w:lang w:val="en-US"/>
    </w:rPr>
  </w:style>
  <w:style w:type="table" w:styleId="TableGrid">
    <w:name w:val="Table Grid"/>
    <w:basedOn w:val="TableNormal"/>
    <w:uiPriority w:val="39"/>
    <w:rsid w:val="0053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8AD"/>
  </w:style>
  <w:style w:type="paragraph" w:styleId="Footer">
    <w:name w:val="footer"/>
    <w:basedOn w:val="Normal"/>
    <w:link w:val="FooterChar"/>
    <w:uiPriority w:val="99"/>
    <w:unhideWhenUsed/>
    <w:rsid w:val="00326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8AD"/>
  </w:style>
  <w:style w:type="paragraph" w:styleId="BalloonText">
    <w:name w:val="Balloon Text"/>
    <w:basedOn w:val="Normal"/>
    <w:link w:val="BalloonTextChar"/>
    <w:uiPriority w:val="99"/>
    <w:semiHidden/>
    <w:unhideWhenUsed/>
    <w:rsid w:val="000C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B9"/>
    <w:rPr>
      <w:rFonts w:ascii="Segoe UI" w:hAnsi="Segoe UI" w:cs="Segoe UI"/>
      <w:sz w:val="18"/>
      <w:szCs w:val="18"/>
    </w:rPr>
  </w:style>
  <w:style w:type="paragraph" w:styleId="ListParagraph">
    <w:name w:val="List Paragraph"/>
    <w:basedOn w:val="Normal"/>
    <w:uiPriority w:val="34"/>
    <w:qFormat/>
    <w:rsid w:val="007D4DF0"/>
    <w:pPr>
      <w:ind w:left="720"/>
      <w:contextualSpacing/>
    </w:pPr>
  </w:style>
  <w:style w:type="character" w:styleId="CommentReference">
    <w:name w:val="annotation reference"/>
    <w:basedOn w:val="DefaultParagraphFont"/>
    <w:uiPriority w:val="99"/>
    <w:semiHidden/>
    <w:unhideWhenUsed/>
    <w:rsid w:val="00AA40BA"/>
    <w:rPr>
      <w:sz w:val="16"/>
      <w:szCs w:val="16"/>
    </w:rPr>
  </w:style>
  <w:style w:type="paragraph" w:styleId="CommentText">
    <w:name w:val="annotation text"/>
    <w:basedOn w:val="Normal"/>
    <w:link w:val="CommentTextChar"/>
    <w:uiPriority w:val="99"/>
    <w:semiHidden/>
    <w:unhideWhenUsed/>
    <w:rsid w:val="00AA40BA"/>
    <w:pPr>
      <w:spacing w:line="240" w:lineRule="auto"/>
    </w:pPr>
    <w:rPr>
      <w:sz w:val="20"/>
      <w:szCs w:val="20"/>
    </w:rPr>
  </w:style>
  <w:style w:type="character" w:customStyle="1" w:styleId="CommentTextChar">
    <w:name w:val="Comment Text Char"/>
    <w:basedOn w:val="DefaultParagraphFont"/>
    <w:link w:val="CommentText"/>
    <w:uiPriority w:val="99"/>
    <w:semiHidden/>
    <w:rsid w:val="00AA40BA"/>
    <w:rPr>
      <w:sz w:val="20"/>
      <w:szCs w:val="20"/>
    </w:rPr>
  </w:style>
  <w:style w:type="paragraph" w:styleId="CommentSubject">
    <w:name w:val="annotation subject"/>
    <w:basedOn w:val="CommentText"/>
    <w:next w:val="CommentText"/>
    <w:link w:val="CommentSubjectChar"/>
    <w:uiPriority w:val="99"/>
    <w:semiHidden/>
    <w:unhideWhenUsed/>
    <w:rsid w:val="00AA40BA"/>
    <w:rPr>
      <w:b/>
      <w:bCs/>
    </w:rPr>
  </w:style>
  <w:style w:type="character" w:customStyle="1" w:styleId="CommentSubjectChar">
    <w:name w:val="Comment Subject Char"/>
    <w:basedOn w:val="CommentTextChar"/>
    <w:link w:val="CommentSubject"/>
    <w:uiPriority w:val="99"/>
    <w:semiHidden/>
    <w:rsid w:val="00AA4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Wilson</dc:creator>
  <cp:keywords/>
  <dc:description/>
  <cp:lastModifiedBy>Liz Wilson</cp:lastModifiedBy>
  <cp:revision>3</cp:revision>
  <cp:lastPrinted>2017-01-23T10:43:00Z</cp:lastPrinted>
  <dcterms:created xsi:type="dcterms:W3CDTF">2017-01-23T13:02:00Z</dcterms:created>
  <dcterms:modified xsi:type="dcterms:W3CDTF">2017-01-23T13:39:00Z</dcterms:modified>
</cp:coreProperties>
</file>